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7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1241.6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1246.4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1307.3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1312.7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1460.1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1471.9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1795.45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1798.55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1918.75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1"/>
        <w:gridCol w:w="1207"/>
        <w:gridCol w:w="1323"/>
        <w:gridCol w:w="1731"/>
        <w:gridCol w:w="1323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0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5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11300-11300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11050-11100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10900-11000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10700-10900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10800-11000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10300-10500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10200-10200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10300-10400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8.55pt;width:487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0271050"/>
      <w:bookmarkStart w:id="10" w:name="_Toc211404317"/>
    </w:p>
    <w:p>
      <w:r>
        <w:pict>
          <v:shape id="_x0000_i1030" o:spt="75" type="#_x0000_t75" style="height:325.2pt;width:487.0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涨势迅猛，节后返市，工厂继续调涨，持货商坚持高报，然终端企业跟进程度放缓，谨慎递盘下成交放量有限，实单商谈不足。随着价格不断攀高，终端入市高价抵触情绪愈发明显，周四市场涨势略缓，呈现高报低出现象，交投转淡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11300-11500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11400-11600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11200-11300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坚挺为主，参考11300-11500元/吨。港口库存变化不大，场内现货资源仍处于紧张态势，供方报盘坚挺有力，然成交暂无。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挺价运作，预估11400-11600元/吨。临近周末，场内基本面变化不大，贸易商报盘坚挺有力，终端企业跟进一般，实单实谈。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报盘上探，预估11200-11300元/吨。受山东工厂连续调涨影响，持货商多存跟涨心态，终端企业跟进一般，实单商谈。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sz w:val="18"/>
          <w:szCs w:val="18"/>
        </w:rPr>
        <w:t>整理运作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65153683"/>
      <w:bookmarkStart w:id="17" w:name="_Toc210271057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819.1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822.9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706.25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685.55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5350-5400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5350-5400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5550-5550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11404325"/>
      <w:bookmarkStart w:id="24" w:name="_Toc399511074"/>
      <w:bookmarkStart w:id="25" w:name="_Toc210271058"/>
      <w:bookmarkStart w:id="26" w:name="_Toc265153686"/>
    </w:p>
    <w:p>
      <w:pPr>
        <w:pStyle w:val="4"/>
        <w:spacing w:line="360" w:lineRule="auto"/>
        <w:rPr>
          <w:rFonts w:hint="eastAsia" w:ascii="宋体" w:hAnsi="宋体" w:cs="宋体"/>
          <w:kern w:val="0"/>
          <w:sz w:val="30"/>
          <w:szCs w:val="30"/>
          <w:lang w:val="zh-CN"/>
        </w:rPr>
      </w:pPr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b/>
          <w:bCs/>
          <w:lang w:val="zh-CN"/>
        </w:rPr>
      </w:pPr>
      <w:r>
        <w:pict>
          <v:shape id="_x0000_i1031" o:spt="75" type="#_x0000_t75" style="height:337.35pt;width:486.9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399511075"/>
      <w:bookmarkStart w:id="28" w:name="_Toc265153687"/>
      <w:bookmarkStart w:id="29" w:name="_Toc211404326"/>
      <w:bookmarkStart w:id="30" w:name="_Toc210271059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3.65pt;width:487.1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丙酮市场略有下探，受需求疲软拖累，持货商出货受阻市场交投气氛降温。虽有假期期间宁波北仑公共卫生事件影响，加重观望情绪，节后首个交易日，操作者积极推进价格，然终端工厂入市补货情绪释放不足，多按需跟进为主，整体交投气氛表现一般。船虽然周内石化企业调涨筑底，但对市场的提振作用不大，加之相关产品苯酚强势拉高，对丙酮也形成一定的压制。在交投气氛跟进不畅的情况下，丙酮市场坚挺过后，进入弱势僵持的行情之中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5700-5800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5500-5600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重心暂稳，参考5400元/吨附近。港口库存有减量表现，贸易商继续低出意向不强，终端企业按需入市参与，整体成交表现较为有限。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成交一般，预估5700-5800元/吨。临近周末，场内新消息不多，贸易商随行就市为主，终端企业买盘跟进有限，实单交投平平。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区间波动，参考5500-5600元/吨。临近周末场内基本面变化不大，持货商随行就市心态，终端企业刚需参与，实单商谈。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sz w:val="18"/>
          <w:szCs w:val="18"/>
        </w:rPr>
        <w:t>波动不大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B36491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37F08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D2B48"/>
    <w:rsid w:val="18887CBE"/>
    <w:rsid w:val="18890D86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557D4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047CA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DA491A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75FA7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013C3D"/>
    <w:rsid w:val="311566B0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D6A46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5651E1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DE5327"/>
    <w:rsid w:val="41E63115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645AC"/>
    <w:rsid w:val="542C409C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93B07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D3EB6"/>
    <w:rsid w:val="6C6D4EB6"/>
    <w:rsid w:val="6C7E07EB"/>
    <w:rsid w:val="6C843884"/>
    <w:rsid w:val="6CAA6050"/>
    <w:rsid w:val="6CB92488"/>
    <w:rsid w:val="6CC066A6"/>
    <w:rsid w:val="6CD13628"/>
    <w:rsid w:val="6CD87005"/>
    <w:rsid w:val="6CDB1CE2"/>
    <w:rsid w:val="6CEC2D04"/>
    <w:rsid w:val="6CFC4D5E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4D0E37"/>
    <w:rsid w:val="7B715A58"/>
    <w:rsid w:val="7B743889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B0780B"/>
    <w:rsid w:val="7EB62D1B"/>
    <w:rsid w:val="7EC426D7"/>
    <w:rsid w:val="7EDB3EE7"/>
    <w:rsid w:val="7EE56D8F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2022-01-07T08:29:33Z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