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-896620</wp:posOffset>
            </wp:positionH>
            <wp:positionV relativeFrom="paragraph">
              <wp:posOffset>-976630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3.10</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1" w:name="_Toc27031"/>
      <w:bookmarkStart w:id="2" w:name="_Toc67556952"/>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4882" w:type="pct"/>
        <w:tblInd w:w="0" w:type="dxa"/>
        <w:tblLayout w:type="autofit"/>
        <w:tblCellMar>
          <w:top w:w="15" w:type="dxa"/>
          <w:left w:w="15" w:type="dxa"/>
          <w:bottom w:w="15" w:type="dxa"/>
          <w:right w:w="15" w:type="dxa"/>
        </w:tblCellMar>
      </w:tblPr>
      <w:tblGrid>
        <w:gridCol w:w="1451"/>
        <w:gridCol w:w="793"/>
        <w:gridCol w:w="793"/>
        <w:gridCol w:w="6514"/>
      </w:tblGrid>
      <w:tr>
        <w:tblPrEx>
          <w:tblCellMar>
            <w:top w:w="15" w:type="dxa"/>
            <w:left w:w="15" w:type="dxa"/>
            <w:bottom w:w="15" w:type="dxa"/>
            <w:right w:w="15" w:type="dxa"/>
          </w:tblCellMar>
        </w:tblPrEx>
        <w:trPr>
          <w:trHeight w:val="283" w:hRule="atLeast"/>
          <w:tblHeader/>
        </w:trPr>
        <w:tc>
          <w:tcPr>
            <w:tcW w:w="75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日期</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1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08"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2022/3/3</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107.67</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110.46</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交易商权衡俄罗斯-乌克兰战争以及对恢复伊核协议可能性的猜测， 国际油价冲高回落, 布伦特 原油期货盘中短暂接近每桶120美元，WTI盘中触及近14年来高点。</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2022/3/4</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115.68</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118.11</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尽管伊核协议谈判有望达成协议，然而俄罗斯和乌克兰冲突升级，西方对俄罗斯实施制裁，市场担心原油供应中断。</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2022/3/7</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default" w:eastAsia="宋体"/>
                <w:sz w:val="18"/>
                <w:szCs w:val="18"/>
                <w:lang w:val="en-US" w:eastAsia="zh-CN"/>
              </w:rPr>
            </w:pPr>
            <w:r>
              <w:rPr>
                <w:rFonts w:hint="eastAsia" w:eastAsia="宋体"/>
                <w:sz w:val="18"/>
                <w:szCs w:val="18"/>
                <w:lang w:val="en-US" w:eastAsia="zh-CN"/>
              </w:rPr>
              <w:t xml:space="preserve">119.40 </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123.21</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lang w:val="en-US" w:eastAsia="zh-CN"/>
              </w:rPr>
            </w:pPr>
            <w:r>
              <w:rPr>
                <w:sz w:val="18"/>
                <w:szCs w:val="18"/>
              </w:rPr>
              <w:t>美国拉欧洲盟友考虑禁止进口俄罗斯石油，伊朗原油可能重返市场时间可能推迟，加剧了供应紧张担忧，欧美 原油期货涨至2008年以来最高, 布伦特原油期货盘中接近每桶140美元。</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2022/3/8</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123.7</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127.98</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sz w:val="18"/>
                <w:szCs w:val="18"/>
              </w:rPr>
              <w:t>美国宣布禁止从俄罗斯进口原油，欧美 原油期货接近2008年7月份创下的历史最高价位。</w:t>
            </w:r>
          </w:p>
        </w:tc>
      </w:tr>
      <w:tr>
        <w:tblPrEx>
          <w:tblCellMar>
            <w:top w:w="15" w:type="dxa"/>
            <w:left w:w="15" w:type="dxa"/>
            <w:bottom w:w="15" w:type="dxa"/>
            <w:right w:w="15" w:type="dxa"/>
          </w:tblCellMar>
        </w:tblPrEx>
        <w:trPr>
          <w:trHeight w:val="283" w:hRule="atLeast"/>
        </w:trPr>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2022/3/9</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108.7</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rPr>
                <w:rFonts w:hint="eastAsia" w:eastAsia="宋体"/>
                <w:sz w:val="18"/>
                <w:szCs w:val="18"/>
                <w:lang w:val="en-US" w:eastAsia="zh-CN"/>
              </w:rPr>
            </w:pPr>
            <w:r>
              <w:rPr>
                <w:rFonts w:hint="eastAsia" w:eastAsia="宋体"/>
                <w:sz w:val="18"/>
                <w:szCs w:val="18"/>
                <w:lang w:val="en-US" w:eastAsia="zh-CN"/>
              </w:rPr>
              <w:t>111.14</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eastAsia="宋体"/>
                <w:sz w:val="18"/>
                <w:szCs w:val="18"/>
                <w:lang w:val="en-US" w:eastAsia="zh-CN"/>
              </w:rPr>
            </w:pPr>
            <w:r>
              <w:rPr>
                <w:sz w:val="18"/>
                <w:szCs w:val="18"/>
              </w:rPr>
              <w:t>市场人士推测先前已经过度消化了美国禁止进口俄罗斯原油的决定，导致 原油期货超买，加之其他地区可能会增产弥补俄罗斯供应中断短缺，担心高油价破坏需求， 国际油价骤然暴跌10%以上。</w:t>
            </w:r>
          </w:p>
        </w:tc>
      </w:tr>
    </w:tbl>
    <w:p>
      <w:pPr>
        <w:rPr>
          <w:rFonts w:hint="eastAsia"/>
          <w:lang w:val="en-US" w:eastAsia="zh-CN"/>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67556953"/>
      <w:bookmarkStart w:id="4" w:name="_Toc19234"/>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drawing>
          <wp:inline distT="0" distB="0" distL="114300" distR="114300">
            <wp:extent cx="4976495" cy="3657600"/>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976495" cy="365760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67556955"/>
      <w:bookmarkStart w:id="9" w:name="_Toc12072"/>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keepNext w:val="0"/>
        <w:keepLines w:val="0"/>
        <w:widowControl/>
        <w:suppressLineNumbers w:val="0"/>
        <w:ind w:firstLine="360" w:firstLineChars="200"/>
        <w:rPr>
          <w:rFonts w:hint="eastAsia" w:eastAsia="宋体"/>
          <w:sz w:val="18"/>
          <w:szCs w:val="18"/>
        </w:rPr>
      </w:pPr>
      <w:bookmarkStart w:id="10" w:name="_Toc69977252"/>
      <w:bookmarkStart w:id="11" w:name="_Toc8280"/>
      <w:r>
        <w:rPr>
          <w:rFonts w:hint="eastAsia" w:eastAsia="宋体"/>
          <w:sz w:val="18"/>
          <w:szCs w:val="18"/>
        </w:rPr>
        <w:t>本周，美国EIA公布的数据显示，截至2月25日当周美国除却战略储备的商业原油库存意外大幅下降，精炼油库存和汽油库存均小幅下降。具体数据显示，美国截至2月25日当周EIA原油库存变动实际公布减少259.7万桶，预期增加228.7万桶，前值增加451.4万桶。此外，美国截至2月25日当周EIA汽油库存实际公布减少46.8万桶，预期减少129.8万桶，前值减少58.2万桶;美国截至2月25日当周EIA精炼油库存实际公布减少57.3万桶，预期减少170万桶，前值减少58.4万桶。EIA报告显示，美国至2月25日当周EIA战略石油储备库存为2002年8月16日当周以来最低。 美国至2月25日当周原油出口量为2021年7月9日当周以来最高。美国至2月25日当周除却战略储备的商业原油进口量为2021年9月10日当周以来最低。EIA报告显示，上周美国从俄罗斯进口的原油数量降至零。 上周美国中西部原油库存降至2014年12月以来的最低水平。 美国俄克拉荷马州库欣原油库存上周降至2018年9月以来最低水平。上周美国中西部汽油库存升至2019年2月以来的最高水平。美国石油协会API数据显示：美国至3月4日当周API原油库存增加281.1万桶，预期-83.3万桶;美国至3月4日当周API库欣原油库存-36.7万桶;美国至3月4日当周API汽油库存-198.8万桶，预期-191.1万桶;美国至3月4日当周API精炼油库存-548.5万桶，预期-173.2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keepNext w:val="0"/>
        <w:keepLines w:val="0"/>
        <w:widowControl/>
        <w:suppressLineNumbers w:val="0"/>
        <w:ind w:firstLine="360" w:firstLineChars="200"/>
        <w:rPr>
          <w:rFonts w:hint="eastAsia" w:eastAsia="宋体"/>
          <w:sz w:val="18"/>
          <w:szCs w:val="18"/>
        </w:rPr>
      </w:pPr>
      <w:bookmarkStart w:id="12" w:name="_Toc11654"/>
      <w:bookmarkStart w:id="13" w:name="_Toc76629721"/>
      <w:bookmarkStart w:id="14" w:name="_Toc69977253"/>
      <w:r>
        <w:rPr>
          <w:rFonts w:hint="eastAsia" w:eastAsia="宋体"/>
          <w:sz w:val="18"/>
          <w:szCs w:val="18"/>
        </w:rPr>
        <w:t>油价飙升将使美国3月的通胀率读数增加约0.6个百分点，且未来几个月内可能会继续增长。</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美国消费者正在体会拜登政府对俄罗斯制裁措施的“后坐力”。</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当地时间3月8日，美国总统拜登在白宫发表讲话称，他将禁止从俄罗斯进口任何石油和天然气，并立即生效。欧盟和英国也同时采取类似举措。</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根据美国汽车协会的数据，美国的汽油价格继续快速攀升，周二(8日)已上涨至平均每加仑4.17美元，高于一周前的3.62美元。该价格比一周前高15%，比一个月前高21%。</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拜登在讲话中解释称：“这是我们采取的一项措施……但在美国这里也会付出代价。我从一开始就与美国人民讲了实话，在我第一次谈及此事时，我就说过，捍卫自由也将使在美国的我们付出代价。”</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Doubleline Capital创始人兼首席执行官、“新债王”冈拉克(Jeffrey Gundlach)则警告称，美国今年的通胀率可能接近10%的历史新高，而这凸显美联储需大力收紧货币政策。</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今年是美国中期选举年，居高不下的通货膨胀成了悬在拜登政府头上的达摩克利斯之剑。投资咨询公司BCA Research Counterpoint部门首席策略师约什(Dhaval Joshi)表示，选民非常关注近期“生活成本”的飙升，如果到今年夏末通胀率还没有大幅下降，选民将在中期选举中“惩罚”民主党。</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美国通货膨胀率或进一步推高</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根据美国劳工统计局最新数据，美国2022年1月消费者价格指数(CPI)同比达到7.5%，为40年来的新高。但随着地缘政治局势发展，这可能并非顶点。</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据美媒报道，2021年美国进口的原油和精炼产品中约有8%来自俄罗斯。而自疫情暴发以来，美国石油炼制商的产能也没有完全恢复。自2020年初以来，美国市场损失了约100万桶的日炼油能力。</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这一背景下，不少分析预计，今年晚些时候，平均汽油价格可能会突破每加仑5美元，而油价上涨也将影响多个行业，航空公司将提高票价，将更高的成本转嫁给消费者。由卡车运送的产品的价格也会提高，造成新一波通货膨胀压力。</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此外，美国依赖俄罗斯和乌克兰提供关键的农产品。这两个国家的小麦、大麦和玉米出口总量占全球总量的21%，葵花籽油供应占60%。小麦价格在周二创下历史新高，镍也出现空前暴涨，伦敦金属交易所甚至暂停了交易。</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根据凯投宏观(Capital Economics)的数据，在未来几个月里，供应链中断可能会使发达经济体的总体通胀率增加0.2至0.4个百分点，在家食用的食品类别的成本将在今年持续上升。宏观政策研究公司SGH Macro Advisors经济学家达伊(Tim Duy)说：“人们曾预期2月份将是同比整体通胀的高点，但乌克兰局势的冲击已经使3月份的天然气价格进一步上涨。”</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美国政府有何对策</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截至目前，拜登政府并未直接要求美国能源生产商提高产量，以缓解美国人在加油站面临的荷包损失。美国财政部副部长阿德耶莫(Wally Adeyemo)周二表示，满足需求需要时间，消费者现在应该做好出现更高标价的准备。他称，高成本并不只影响美国人，全球经济的大部分地区都被通货膨胀所笼罩。他还强调，当前，美国消费者在通胀飙升的情况下一直保持着韧性。</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但美国政府正在考虑一系列措施，以减轻对俄罗斯的制裁措施给美国普通民众带来的困扰。据美媒报道，美国官员正在与委内瑞拉、伊朗和沙特阿拉伯等主要石油生产国进行接触，就提高产量的可能性进行会谈。美国考虑放弃对委内瑞拉的一些制裁措施，使后者能在全球市场出售更多石油。</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拜登政府还考虑再次释放数百万桶战略石油储备，这意味着美国近期将第三次动用国家石油储备。但美媒援引专家观点称，这不太可能对汽油价格产生很大影响。此外，白宫内部还准备暂停推出汽油税，以缓解美国人在加油站的价格压力。</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而在美联储方面，彭博全球首席经济学家欧乐鹰表示，几周前，市场对3月份50个基点的上调进行了定价，并预计美联储将以超级激进的方式开始控制通胀。现在，这些预期已经消退，大多数人预计会有25个基点的移动。</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“展望未来，有很多未知因素，包括乌克兰局势的影响。但已知的是，美联储已经落后于形势。预计他们将在未来几个月内实现至少100个基点的紧缩，然后调查情况，看看还需要做些什么。”欧乐鹰说。</w:t>
      </w:r>
    </w:p>
    <w:p>
      <w:pPr>
        <w:pStyle w:val="23"/>
        <w:keepNext w:val="0"/>
        <w:keepLines w:val="0"/>
        <w:widowControl/>
        <w:suppressLineNumbers w:val="0"/>
        <w:ind w:firstLine="360" w:firstLineChars="200"/>
        <w:rPr>
          <w:rFonts w:hint="eastAsia" w:eastAsia="宋体"/>
          <w:sz w:val="18"/>
          <w:szCs w:val="18"/>
        </w:rPr>
      </w:pP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rFonts w:eastAsia="宋体"/>
          <w:sz w:val="18"/>
          <w:szCs w:val="18"/>
        </w:rPr>
      </w:pPr>
      <w:bookmarkStart w:id="15" w:name="_Toc10797"/>
      <w:r>
        <w:rPr>
          <w:rFonts w:eastAsia="宋体"/>
          <w:sz w:val="18"/>
          <w:szCs w:val="18"/>
        </w:rPr>
        <w:t>中国“两会”正在北京召开，今年中国GDP增速是备受全球关注的经济指标之一。中国国务院总理在其所作的政府工作报告中，把这一目标确定在增长5.5%左右。与2021 年 GDP 增长 8.1% 相比，这个目标相对放缓。李克强指出，中国经济面临需求收缩、供给冲击、预期转弱三重压力，强调“今年经济工作要以稳定为第一要务”。</w:t>
      </w:r>
    </w:p>
    <w:p>
      <w:pPr>
        <w:pStyle w:val="23"/>
        <w:ind w:firstLine="360" w:firstLineChars="200"/>
        <w:rPr>
          <w:rFonts w:eastAsia="宋体"/>
          <w:sz w:val="18"/>
          <w:szCs w:val="18"/>
        </w:rPr>
      </w:pPr>
      <w:r>
        <w:rPr>
          <w:rFonts w:eastAsia="宋体"/>
          <w:sz w:val="18"/>
          <w:szCs w:val="18"/>
        </w:rPr>
        <w:t>另一方面，考虑到全球经济依然深受疫情影响、地缘政治博弈加剧，以及俄乌危机的大背景下，专家认为，中国提出5.5%的经济增长目标，无疑将成为全球经济复苏的主要推动力。</w:t>
      </w:r>
    </w:p>
    <w:p>
      <w:pPr>
        <w:pStyle w:val="23"/>
        <w:ind w:firstLine="360" w:firstLineChars="200"/>
        <w:rPr>
          <w:rFonts w:eastAsia="宋体"/>
          <w:sz w:val="18"/>
          <w:szCs w:val="18"/>
        </w:rPr>
      </w:pPr>
      <w:r>
        <w:rPr>
          <w:rFonts w:eastAsia="宋体"/>
          <w:sz w:val="18"/>
          <w:szCs w:val="18"/>
        </w:rPr>
        <w:t>外部压力与地缘政治</w:t>
      </w:r>
    </w:p>
    <w:p>
      <w:pPr>
        <w:pStyle w:val="23"/>
        <w:ind w:firstLine="360" w:firstLineChars="200"/>
        <w:rPr>
          <w:rFonts w:eastAsia="宋体"/>
          <w:sz w:val="18"/>
          <w:szCs w:val="18"/>
        </w:rPr>
      </w:pPr>
      <w:r>
        <w:rPr>
          <w:rFonts w:eastAsia="宋体"/>
          <w:sz w:val="18"/>
          <w:szCs w:val="18"/>
        </w:rPr>
        <w:t>李克强总理在政府工作报告中表示，尽管面临外部压力，中国仍期待经济稳定增长。显然，“外部压力”是指来自美国前总统特朗普时期的压力，当时中国的出口产品被加征关税，为了推动中国远离先进技术领域，特别是在芯片、半导体领域、通信领域的电子设备和其他创新领域，美国发起了针对中国的贸易战。</w:t>
      </w:r>
    </w:p>
    <w:p>
      <w:pPr>
        <w:pStyle w:val="23"/>
        <w:ind w:firstLine="360" w:firstLineChars="200"/>
        <w:rPr>
          <w:rFonts w:eastAsia="宋体"/>
          <w:sz w:val="18"/>
          <w:szCs w:val="18"/>
        </w:rPr>
      </w:pPr>
      <w:r>
        <w:rPr>
          <w:rFonts w:eastAsia="宋体"/>
          <w:sz w:val="18"/>
          <w:szCs w:val="18"/>
        </w:rPr>
        <w:t>专家指出，俄罗斯和乌克兰的军事冲突对中国也产生一定影响。中国是俄罗斯和乌克兰最大的贸易伙伴，特别是在能源和食品供应领域。例如，中国已成为乌克兰最大的玉米采购方。</w:t>
      </w:r>
    </w:p>
    <w:p>
      <w:pPr>
        <w:pStyle w:val="23"/>
        <w:ind w:firstLine="360" w:firstLineChars="200"/>
        <w:rPr>
          <w:rFonts w:eastAsia="宋体"/>
          <w:sz w:val="18"/>
          <w:szCs w:val="18"/>
        </w:rPr>
      </w:pPr>
      <w:r>
        <w:rPr>
          <w:rFonts w:eastAsia="宋体"/>
          <w:sz w:val="18"/>
          <w:szCs w:val="18"/>
        </w:rPr>
        <w:t>从经济角度来看，由于俄乌冲突，其它国家对俄罗斯的制裁也影响了中国进口天然气，同时造成世界的煤炭市场混乱。例如，截至3月7日，欧洲的天然气价格最高达到3900 美元/立方千米。</w:t>
      </w:r>
    </w:p>
    <w:p>
      <w:pPr>
        <w:pStyle w:val="23"/>
        <w:ind w:firstLine="360" w:firstLineChars="200"/>
        <w:rPr>
          <w:rFonts w:eastAsia="宋体"/>
          <w:sz w:val="18"/>
          <w:szCs w:val="18"/>
        </w:rPr>
      </w:pPr>
      <w:r>
        <w:rPr>
          <w:rFonts w:eastAsia="宋体"/>
          <w:sz w:val="18"/>
          <w:szCs w:val="18"/>
        </w:rPr>
        <w:t>俄罗斯副总理诺瓦克近日表示，欧洲国家拒绝购买俄罗斯石油可能会给世界市场带来灾难性后果， 石油的价格可能超过每桶 300 美元。在原材料价格动荡的情况下， 2022年中国打算加大油气田勘探力度，是很符合逻辑的。</w:t>
      </w:r>
    </w:p>
    <w:p>
      <w:pPr>
        <w:pStyle w:val="23"/>
        <w:ind w:firstLine="360" w:firstLineChars="200"/>
        <w:rPr>
          <w:rFonts w:eastAsia="宋体"/>
          <w:sz w:val="18"/>
          <w:szCs w:val="18"/>
        </w:rPr>
      </w:pPr>
      <w:r>
        <w:rPr>
          <w:rFonts w:eastAsia="宋体"/>
          <w:sz w:val="18"/>
          <w:szCs w:val="18"/>
        </w:rPr>
        <w:t>“要加强建设自身资源生产能力，加大油气矿产等自然资源勘探开发力度，健全国家战略储备体系，保障初级产品供应。”李克强强调。</w:t>
      </w:r>
    </w:p>
    <w:p>
      <w:pPr>
        <w:pStyle w:val="23"/>
        <w:ind w:firstLine="360" w:firstLineChars="200"/>
        <w:rPr>
          <w:rFonts w:eastAsia="宋体"/>
          <w:sz w:val="18"/>
          <w:szCs w:val="18"/>
        </w:rPr>
      </w:pPr>
      <w:r>
        <w:rPr>
          <w:rFonts w:eastAsia="宋体"/>
          <w:sz w:val="18"/>
          <w:szCs w:val="18"/>
        </w:rPr>
        <w:t>重构经济模式：数量增长被质量取代</w:t>
      </w:r>
    </w:p>
    <w:p>
      <w:pPr>
        <w:pStyle w:val="23"/>
        <w:ind w:firstLine="360" w:firstLineChars="200"/>
        <w:rPr>
          <w:rFonts w:eastAsia="宋体"/>
          <w:sz w:val="18"/>
          <w:szCs w:val="18"/>
        </w:rPr>
      </w:pPr>
      <w:r>
        <w:rPr>
          <w:rFonts w:eastAsia="宋体"/>
          <w:sz w:val="18"/>
          <w:szCs w:val="18"/>
        </w:rPr>
        <w:t>2020年，受疫情影响，中国的GDP增速仅为 2.3%，这是中国近 45 年来的最低水平，另一方面，中国依然是 G20 中唯一一个实现正增长的国家。</w:t>
      </w:r>
    </w:p>
    <w:p>
      <w:pPr>
        <w:pStyle w:val="23"/>
        <w:ind w:firstLine="360" w:firstLineChars="200"/>
        <w:rPr>
          <w:rFonts w:eastAsia="宋体"/>
          <w:sz w:val="18"/>
          <w:szCs w:val="18"/>
        </w:rPr>
      </w:pPr>
      <w:r>
        <w:rPr>
          <w:rFonts w:eastAsia="宋体"/>
          <w:sz w:val="18"/>
          <w:szCs w:val="18"/>
        </w:rPr>
        <w:t>哈萨克斯坦汉学家安东·布根科表示，去年，中国两会期间的政府工作报告中表示，尽管2020年中国GDP增长率为 2.3%，但依然创造了 1100 万个就业岗位，令人印象深刻。</w:t>
      </w:r>
    </w:p>
    <w:p>
      <w:pPr>
        <w:pStyle w:val="23"/>
        <w:ind w:firstLine="360" w:firstLineChars="200"/>
        <w:rPr>
          <w:rFonts w:eastAsia="宋体"/>
          <w:sz w:val="18"/>
          <w:szCs w:val="18"/>
        </w:rPr>
      </w:pPr>
      <w:r>
        <w:rPr>
          <w:rFonts w:eastAsia="宋体"/>
          <w:sz w:val="18"/>
          <w:szCs w:val="18"/>
        </w:rPr>
        <w:t>“在新冠疫情肆虐，以及动态清零、人员隔离、口岸受限等防疫措施影响下，中国对外贸易并没有下降，同时中国内需也得到了加强。”安东说。</w:t>
      </w:r>
    </w:p>
    <w:p>
      <w:pPr>
        <w:pStyle w:val="23"/>
        <w:ind w:firstLine="360" w:firstLineChars="200"/>
        <w:rPr>
          <w:rFonts w:eastAsia="宋体"/>
          <w:sz w:val="18"/>
          <w:szCs w:val="18"/>
        </w:rPr>
      </w:pPr>
      <w:r>
        <w:rPr>
          <w:rFonts w:eastAsia="宋体"/>
          <w:sz w:val="18"/>
          <w:szCs w:val="18"/>
        </w:rPr>
        <w:t>2022 年中国“两会”对未来的规划也体现了中国经济的灵活性。全国计划新增就业1100万人以上，居民消费价格增长3%，国家财政赤字占GDP比重为2.8%，略低于去年。</w:t>
      </w:r>
    </w:p>
    <w:p>
      <w:pPr>
        <w:pStyle w:val="23"/>
        <w:ind w:firstLine="360" w:firstLineChars="200"/>
        <w:rPr>
          <w:rFonts w:eastAsia="宋体"/>
          <w:sz w:val="18"/>
          <w:szCs w:val="18"/>
        </w:rPr>
      </w:pPr>
      <w:r>
        <w:rPr>
          <w:rFonts w:eastAsia="宋体"/>
          <w:sz w:val="18"/>
          <w:szCs w:val="18"/>
        </w:rPr>
        <w:t>如前所述，2022年5.5%的经济增长率是近年来较的。去年，中国设定了 2021 年 GDP 增长目标超过 6%。当时，一些专家也认为这个标准低于国际社会的预期水平。</w:t>
      </w:r>
    </w:p>
    <w:p>
      <w:pPr>
        <w:pStyle w:val="23"/>
        <w:ind w:firstLine="360" w:firstLineChars="200"/>
        <w:rPr>
          <w:rFonts w:eastAsia="宋体"/>
          <w:sz w:val="18"/>
          <w:szCs w:val="18"/>
        </w:rPr>
      </w:pPr>
      <w:r>
        <w:rPr>
          <w:rFonts w:eastAsia="宋体"/>
          <w:sz w:val="18"/>
          <w:szCs w:val="18"/>
        </w:rPr>
        <w:t>在安东看来，经济增速放缓有一定的规律性。首先，这是疫情的短期影响，中国境内外的商业活动仍在从封锁中逐步恢复;其次，国家经济增长出现放缓，单纯的数量增长正在被高质量增长所取代。</w:t>
      </w:r>
    </w:p>
    <w:p>
      <w:pPr>
        <w:pStyle w:val="23"/>
        <w:ind w:firstLine="360" w:firstLineChars="200"/>
        <w:rPr>
          <w:rFonts w:eastAsia="宋体"/>
          <w:sz w:val="18"/>
          <w:szCs w:val="18"/>
        </w:rPr>
      </w:pPr>
      <w:r>
        <w:rPr>
          <w:rFonts w:eastAsia="宋体"/>
          <w:sz w:val="18"/>
          <w:szCs w:val="18"/>
        </w:rPr>
        <w:t>中国“两会”信号对哈萨克斯坦同样重要</w:t>
      </w:r>
    </w:p>
    <w:p>
      <w:pPr>
        <w:pStyle w:val="23"/>
        <w:ind w:firstLine="360" w:firstLineChars="200"/>
        <w:rPr>
          <w:rFonts w:eastAsia="宋体"/>
          <w:sz w:val="18"/>
          <w:szCs w:val="18"/>
        </w:rPr>
      </w:pPr>
      <w:r>
        <w:rPr>
          <w:rFonts w:eastAsia="宋体"/>
          <w:sz w:val="18"/>
          <w:szCs w:val="18"/>
        </w:rPr>
        <w:t>“两会”为中国明确了下一步的发展方向，这对与中国接壤的哈萨克斯坦非常重要。作为哈萨克斯坦的友好邻国，中国已跃升为世界第二大经济体。哈萨克斯坦与中国有许多合作项目，既有正在实施的，也有未来的计划。哈萨克斯坦东方学家阿迪尔·考克诺夫告诉《今日丝路》报， “一带一路”项目将在两国全面战略伙伴关系的框架内有序实施，因此，中国经济社会下一步如何发展，对哈中双边经贸合作也具有重要意义。</w:t>
      </w:r>
    </w:p>
    <w:p>
      <w:pPr>
        <w:pStyle w:val="23"/>
        <w:ind w:firstLine="360" w:firstLineChars="200"/>
        <w:rPr>
          <w:rFonts w:eastAsia="宋体"/>
          <w:sz w:val="18"/>
          <w:szCs w:val="18"/>
        </w:rPr>
      </w:pPr>
      <w:r>
        <w:rPr>
          <w:rFonts w:eastAsia="宋体"/>
          <w:sz w:val="18"/>
          <w:szCs w:val="18"/>
        </w:rPr>
        <w:t>“中国在经济增长方面的成功，即使在 2020-2022 年其他主要国家的增长率下降的背景下依然取得了亮眼的成绩，也证实了中国发挥了作为全球经济复苏引擎的作用。”阿迪尔·考克诺夫说。</w:t>
      </w:r>
    </w:p>
    <w:p>
      <w:pPr>
        <w:pStyle w:val="23"/>
        <w:ind w:firstLine="360" w:firstLineChars="200"/>
        <w:rPr>
          <w:rFonts w:eastAsia="宋体"/>
          <w:sz w:val="18"/>
          <w:szCs w:val="18"/>
        </w:rPr>
      </w:pPr>
      <w:r>
        <w:rPr>
          <w:rFonts w:eastAsia="宋体"/>
          <w:sz w:val="18"/>
          <w:szCs w:val="18"/>
        </w:rPr>
        <w:t>据他介绍，中国正在实施探索宇宙、遥感卫星等标志性工程，创建空间通信系统，向月球和火星运送自行式车辆，在 5G、6G 通信等领域实施创新项目……“这一切都代表了中国为全人类发展进步所做的巨大积累和贡献。中国凭借其基于友好互利的发展理念，吸引越来越多的国家在‘一带一路’倡议的框架内开展合作。”考克诺夫认为。</w:t>
      </w:r>
    </w:p>
    <w:p>
      <w:pPr>
        <w:pStyle w:val="23"/>
        <w:ind w:firstLine="360" w:firstLineChars="200"/>
        <w:rPr>
          <w:sz w:val="18"/>
          <w:szCs w:val="18"/>
        </w:rPr>
      </w:pPr>
      <w:r>
        <w:rPr>
          <w:rFonts w:eastAsia="宋体"/>
          <w:sz w:val="18"/>
          <w:szCs w:val="18"/>
        </w:rPr>
        <w:t>数据显示，仅去年以来，就有10个国家与中国签署了“一带一路”合作协议，使“一带一路”大家庭的成员数量达到180个。</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rFonts w:hint="eastAsia" w:eastAsia="宋体"/>
          <w:color w:val="auto"/>
          <w:sz w:val="18"/>
          <w:szCs w:val="18"/>
        </w:rPr>
      </w:pPr>
      <w:bookmarkStart w:id="16" w:name="_Toc13390"/>
      <w:r>
        <w:rPr>
          <w:rFonts w:hint="eastAsia" w:eastAsia="宋体"/>
          <w:color w:val="auto"/>
          <w:sz w:val="18"/>
          <w:szCs w:val="18"/>
        </w:rPr>
        <w:t>本周</w:t>
      </w:r>
      <w:r>
        <w:rPr>
          <w:rFonts w:hint="eastAsia" w:eastAsia="宋体"/>
          <w:color w:val="auto"/>
          <w:sz w:val="18"/>
          <w:szCs w:val="18"/>
          <w:lang w:eastAsia="zh-CN"/>
        </w:rPr>
        <w:t>，</w:t>
      </w:r>
      <w:r>
        <w:rPr>
          <w:rFonts w:hint="eastAsia" w:eastAsia="宋体"/>
          <w:color w:val="auto"/>
          <w:sz w:val="18"/>
          <w:szCs w:val="18"/>
        </w:rPr>
        <w:t>美国WTI原油价格在</w:t>
      </w:r>
      <w:r>
        <w:rPr>
          <w:rFonts w:hint="eastAsia" w:eastAsia="宋体"/>
          <w:color w:val="auto"/>
          <w:sz w:val="18"/>
          <w:szCs w:val="18"/>
          <w:lang w:val="en-US" w:eastAsia="zh-CN"/>
        </w:rPr>
        <w:t>107.67</w:t>
      </w:r>
      <w:r>
        <w:rPr>
          <w:rFonts w:hint="eastAsia" w:eastAsia="宋体"/>
          <w:color w:val="auto"/>
          <w:sz w:val="18"/>
          <w:szCs w:val="18"/>
        </w:rPr>
        <w:t>-</w:t>
      </w:r>
      <w:r>
        <w:rPr>
          <w:rFonts w:hint="eastAsia" w:eastAsia="宋体"/>
          <w:color w:val="auto"/>
          <w:sz w:val="18"/>
          <w:szCs w:val="18"/>
          <w:lang w:val="en-US" w:eastAsia="zh-CN"/>
        </w:rPr>
        <w:t>123.7</w:t>
      </w:r>
      <w:r>
        <w:rPr>
          <w:rFonts w:hint="eastAsia" w:eastAsia="宋体"/>
          <w:color w:val="auto"/>
          <w:sz w:val="18"/>
          <w:szCs w:val="18"/>
        </w:rPr>
        <w:t>美元/桶。布伦特原油价格在</w:t>
      </w:r>
      <w:r>
        <w:rPr>
          <w:rFonts w:hint="eastAsia" w:eastAsia="宋体"/>
          <w:color w:val="auto"/>
          <w:sz w:val="18"/>
          <w:szCs w:val="18"/>
          <w:lang w:val="en-US" w:eastAsia="zh-CN"/>
        </w:rPr>
        <w:t>110.46</w:t>
      </w:r>
      <w:r>
        <w:rPr>
          <w:rFonts w:hint="eastAsia" w:eastAsia="宋体"/>
          <w:color w:val="auto"/>
          <w:sz w:val="18"/>
          <w:szCs w:val="18"/>
        </w:rPr>
        <w:t>-</w:t>
      </w:r>
      <w:r>
        <w:rPr>
          <w:rFonts w:hint="eastAsia" w:eastAsia="宋体"/>
          <w:color w:val="auto"/>
          <w:sz w:val="18"/>
          <w:szCs w:val="18"/>
          <w:lang w:val="en-US" w:eastAsia="zh-CN"/>
        </w:rPr>
        <w:t>127.98</w:t>
      </w:r>
      <w:r>
        <w:rPr>
          <w:rFonts w:hint="eastAsia" w:eastAsia="宋体"/>
          <w:color w:val="auto"/>
          <w:sz w:val="18"/>
          <w:szCs w:val="18"/>
        </w:rPr>
        <w:t>美元/桶震荡。周内国际油价</w:t>
      </w:r>
      <w:r>
        <w:rPr>
          <w:rFonts w:hint="eastAsia" w:eastAsia="宋体"/>
          <w:color w:val="auto"/>
          <w:sz w:val="18"/>
          <w:szCs w:val="18"/>
          <w:lang w:eastAsia="zh-CN"/>
        </w:rPr>
        <w:t>冲高回落</w:t>
      </w:r>
      <w:r>
        <w:rPr>
          <w:rFonts w:hint="eastAsia" w:eastAsia="宋体"/>
          <w:color w:val="auto"/>
          <w:sz w:val="18"/>
          <w:szCs w:val="18"/>
        </w:rPr>
        <w:t>。乌克兰总统重申愿意做出妥协来结束与俄罗斯的战争，阿联酋改变立场敦促OPEC+超量生产，外盘时间3月9日国际原油狂泻13%。4月WTI：108.70跌15.00;5月布伦特：111.14跌16.84。周三原油期货暴跌，因阿联酋呼吁OPEC+加快增产，而乌克兰总统泽连斯基重申愿意考虑做出一些妥协来结束与俄罗斯的战争; 布伦特原油一度跌超17%至每桶105美元附近;阿联酋表示将鼓励OPEC+成员国加快增产。泽连斯基对德国《图片报》重申，乌克兰准备为结束战争做出妥协;ICAP North America Inc.的能源专家Scott Shelton表示，市场没有失去大量石油，现在的涨幅是因为人们预期未来供应会大幅减少，且需求也会遭到破坏。只要未来几周外交努力能取得成功，我相信油价能降得更多;伊拉克石油部长Ihsan Abdul Jabbar Ismaael在休斯敦的一场石油会议上表示，尚未看到石油客户的额外需求，OPEC+没有必要以超过计划的速度增产，进一步增产可能损害市场 ;4月交割的西德克萨斯州中质油(WTI)期货下跌15美元，结算价报每桶108.70美元; 5月交割的布伦特原油期货下跌16.84美元，结算价报每桶111.14美元。</w:t>
      </w:r>
    </w:p>
    <w:p>
      <w:pPr>
        <w:pStyle w:val="23"/>
        <w:ind w:firstLine="360" w:firstLineChars="200"/>
        <w:rPr>
          <w:rFonts w:hint="eastAsia" w:eastAsia="宋体"/>
          <w:color w:val="auto"/>
          <w:sz w:val="18"/>
          <w:szCs w:val="18"/>
        </w:rPr>
      </w:pPr>
      <w:r>
        <w:rPr>
          <w:rFonts w:hint="eastAsia" w:eastAsia="宋体"/>
          <w:color w:val="auto"/>
          <w:sz w:val="18"/>
          <w:szCs w:val="18"/>
        </w:rPr>
        <w:t>预测下周WTI油价将触及</w:t>
      </w:r>
      <w:r>
        <w:rPr>
          <w:rFonts w:hint="eastAsia" w:eastAsia="宋体"/>
          <w:color w:val="auto"/>
          <w:sz w:val="18"/>
          <w:szCs w:val="18"/>
          <w:lang w:val="en-US" w:eastAsia="zh-CN"/>
        </w:rPr>
        <w:t>106</w:t>
      </w:r>
      <w:r>
        <w:rPr>
          <w:rFonts w:hint="eastAsia" w:eastAsia="宋体"/>
          <w:color w:val="auto"/>
          <w:sz w:val="18"/>
          <w:szCs w:val="18"/>
        </w:rPr>
        <w:t>-</w:t>
      </w:r>
      <w:r>
        <w:rPr>
          <w:rFonts w:hint="eastAsia" w:eastAsia="宋体"/>
          <w:color w:val="auto"/>
          <w:sz w:val="18"/>
          <w:szCs w:val="18"/>
          <w:lang w:val="en-US" w:eastAsia="zh-CN"/>
        </w:rPr>
        <w:t>124</w:t>
      </w:r>
      <w:r>
        <w:rPr>
          <w:rFonts w:hint="eastAsia" w:eastAsia="宋体"/>
          <w:color w:val="auto"/>
          <w:sz w:val="18"/>
          <w:szCs w:val="18"/>
        </w:rPr>
        <w:t>美元/桶，布油在之后几个月触</w:t>
      </w:r>
      <w:r>
        <w:rPr>
          <w:rFonts w:hint="eastAsia" w:eastAsia="宋体"/>
          <w:color w:val="auto"/>
          <w:sz w:val="18"/>
          <w:szCs w:val="18"/>
          <w:lang w:val="en-US" w:eastAsia="zh-CN"/>
        </w:rPr>
        <w:t>109</w:t>
      </w:r>
      <w:r>
        <w:rPr>
          <w:rFonts w:hint="eastAsia" w:eastAsia="宋体"/>
          <w:color w:val="auto"/>
          <w:sz w:val="18"/>
          <w:szCs w:val="18"/>
        </w:rPr>
        <w:t>-</w:t>
      </w:r>
      <w:r>
        <w:rPr>
          <w:rFonts w:hint="eastAsia" w:eastAsia="宋体"/>
          <w:color w:val="auto"/>
          <w:sz w:val="18"/>
          <w:szCs w:val="18"/>
          <w:lang w:val="en-US" w:eastAsia="zh-CN"/>
        </w:rPr>
        <w:t>128</w:t>
      </w:r>
      <w:r>
        <w:rPr>
          <w:rFonts w:hint="eastAsia" w:eastAsia="宋体"/>
          <w:color w:val="auto"/>
          <w:sz w:val="18"/>
          <w:szCs w:val="18"/>
        </w:rPr>
        <w:t>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1344.00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358.49</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1244.75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1314.00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397.37</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1327.25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1345.00</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386.32</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1278.50</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3月4日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1174.00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383.51</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1196.75</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3月3日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1221.00</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357.55</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1162.00</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9"/>
        <w:gridCol w:w="915"/>
        <w:gridCol w:w="960"/>
        <w:gridCol w:w="1260"/>
        <w:gridCol w:w="2175"/>
        <w:gridCol w:w="1560"/>
        <w:gridCol w:w="1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962" w:type="dxa"/>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olor w:val="auto"/>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金陵石化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3#柴油加氢</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2021/12/6</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高桥石化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上海</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2021/10/11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广州石化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2021/10/20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茂名石化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广东</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联合石化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常减压</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2021/11/15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海南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2022/3月初</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扬子石化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江苏</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塔河石化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2022/3月中下旬</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辽宁</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2022/4月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克拉玛依石化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新疆</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庆阳石化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2022/5/20</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玉门炼厂</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甘肃</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2022/6/1</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呼和浩特炼化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内蒙</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2022/7/15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华北石化</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河北</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2022/8月</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中海油/中化旗下炼厂检修计划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91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9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12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2175"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1560"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1703" w:type="dxa"/>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8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中化泉州</w:t>
            </w:r>
          </w:p>
        </w:tc>
        <w:tc>
          <w:tcPr>
            <w:tcW w:w="91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福建</w:t>
            </w:r>
          </w:p>
        </w:tc>
        <w:tc>
          <w:tcPr>
            <w:tcW w:w="9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2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全厂检修</w:t>
            </w:r>
          </w:p>
        </w:tc>
        <w:tc>
          <w:tcPr>
            <w:tcW w:w="217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5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2021/12/5</w:t>
            </w:r>
          </w:p>
        </w:tc>
        <w:tc>
          <w:tcPr>
            <w:tcW w:w="170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82"/>
        <w:gridCol w:w="1275"/>
        <w:gridCol w:w="1707"/>
        <w:gridCol w:w="1176"/>
        <w:gridCol w:w="1295"/>
        <w:gridCol w:w="165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962" w:type="dxa"/>
            <w:gridSpan w:val="7"/>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区域</w:t>
            </w:r>
          </w:p>
        </w:tc>
        <w:tc>
          <w:tcPr>
            <w:tcW w:w="127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省市</w:t>
            </w:r>
          </w:p>
        </w:tc>
        <w:tc>
          <w:tcPr>
            <w:tcW w:w="1707"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117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295"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w:t>
            </w:r>
          </w:p>
        </w:tc>
        <w:tc>
          <w:tcPr>
            <w:tcW w:w="1656"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1671" w:type="dxa"/>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山东</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东方华龙</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轮检</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2022/2月初</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神驰化工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260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2022/2/18</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齐润石化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昌邑石化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万达天弘</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shd w:val="clear" w:fill="FFFFFF"/>
              </w:rPr>
              <w:t>2022/4月</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万通石化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东辰石化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聊城</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莘县华祥</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2022/1/30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华星石化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催化裂化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240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2022/1/23</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东营</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华联石化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400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2022/1/10</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潍坊</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弘润石化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催化</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淄博</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金诚石化（新厂）</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129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350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2021/11/24</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西南</w:t>
            </w:r>
          </w:p>
        </w:tc>
        <w:tc>
          <w:tcPr>
            <w:tcW w:w="0" w:type="auto"/>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重庆</w:t>
            </w:r>
          </w:p>
        </w:tc>
        <w:tc>
          <w:tcPr>
            <w:tcW w:w="1707"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龙海石化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2021/7月底</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0" w:type="auto"/>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707"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2021/12/1</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restart"/>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东北</w:t>
            </w: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沈阳蜡化</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70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2021/11/12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辽宁缘泰</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300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2021/2/22</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82" w:type="dxa"/>
            <w:vMerge w:val="continue"/>
            <w:shd w:val="clear" w:color="auto" w:fill="auto"/>
            <w:tcMar>
              <w:left w:w="105" w:type="dxa"/>
              <w:right w:w="105" w:type="dxa"/>
            </w:tcMar>
            <w:vAlign w:val="center"/>
          </w:tcPr>
          <w:p>
            <w:pPr>
              <w:rPr>
                <w:rFonts w:hint="eastAsia" w:ascii="宋体" w:hAnsi="宋体" w:eastAsia="宋体" w:cs="宋体"/>
                <w:caps w:val="0"/>
                <w:spacing w:val="0"/>
                <w:sz w:val="18"/>
                <w:szCs w:val="18"/>
              </w:rPr>
            </w:pPr>
          </w:p>
        </w:tc>
        <w:tc>
          <w:tcPr>
            <w:tcW w:w="1275"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黑龙江</w:t>
            </w:r>
          </w:p>
        </w:tc>
        <w:tc>
          <w:tcPr>
            <w:tcW w:w="1707"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大庆中蓝</w:t>
            </w:r>
          </w:p>
        </w:tc>
        <w:tc>
          <w:tcPr>
            <w:tcW w:w="117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0" w:type="auto"/>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220</w:t>
            </w:r>
          </w:p>
        </w:tc>
        <w:tc>
          <w:tcPr>
            <w:tcW w:w="1656"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2021/7/25</w:t>
            </w:r>
          </w:p>
        </w:tc>
        <w:tc>
          <w:tcPr>
            <w:tcW w:w="1671" w:type="dxa"/>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待定</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widowControl/>
        <w:suppressLineNumbers w:val="0"/>
        <w:ind w:firstLine="360" w:firstLineChars="200"/>
        <w:rPr>
          <w:rFonts w:hint="eastAsia" w:eastAsia="宋体"/>
          <w:sz w:val="18"/>
          <w:szCs w:val="18"/>
        </w:rPr>
      </w:pPr>
      <w:bookmarkStart w:id="20" w:name="_Toc14270"/>
      <w:r>
        <w:rPr>
          <w:rFonts w:hint="eastAsia" w:eastAsia="宋体"/>
          <w:sz w:val="18"/>
          <w:szCs w:val="18"/>
        </w:rPr>
        <w:t>本周(3月4日-3月10日)，华中地区主营汽柴油价格持续上行，均已涨至到位价。具体来看：区内部分地区疫情反复，居民汽车出行半径受限，且高油价抑制终端需求，以日常短途消耗为主，汽油市场刚需支撑。随着天气转暖，工程基建等行业开工增多，物流运输亦较为活跃，柴油终端需求有所回暖。但受地缘政治局势紧张影响，原油收盘持续走高，炼油成本大幅提升下，支撑着油价的上扬，且区内成品油资源紧张，在多方利好支撑下，主营汽柴油价格均已涨至批发限价。油价居高不下，市场观望情绪较为浓厚，入市操作谨慎，多以按需补货为主，市场成交难有改善。</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国际油价接连宽幅上涨，新一轮零售价格或将兑现大幅度上调，华东地区各销售单位涨价心态积极，本周内柴油累积涨幅200-300元/吨，汽油累积涨幅500-550元/吨，当前汽柴油价格皆已涨至限价水平;另外受高油价成本影响，部分单位保持惜售心态，成交暂无优惠。需求面来看，当前缺乏节日利好，以及受区内局部地区疫情反弹影响，居民汽车出行半径受限，不过短期内汽车日常短途出行消耗仍存，汽油市场整体需求相对稳定;然而油价持续高位抑制终端购买情绪。柴油市场，3月份天气温度逐步升高，基建、工矿等开工率进一步提升，柴油终端需求回暖，且后续随生产活动的进一步复苏，柴油整体需求仍有扩张潜力。市场出货情况来看，当前供需两端互相观望，终端多保持刚需补货，贸易商多避险观望为主，整体市场成交氛围更显谨慎。</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华南地区主营汽柴油价格整体呈上涨趋势，现基本已涨至到位价。汽油方面，在原油成本助推下，汽油涨至顶点，主营单位惜售心态明显，对贸易商采取停售或限量销售的措施，大单采购需要预约沟通，市场成交及销售情况表现一般;柴油方面，由于油价已涨至发改委限价，业者大单采购风险较大，市场成交刚需为主。具体来说，周前期，由于月初，主营单位暂无销售业绩压力，再尔汽柴油价格一路高涨，下游业者接受程度不高，谨慎按需购进，市场成交情况表现一般;周后期，在原油的成本提振下，华南地区汽柴油涨至到位价，主营单位对直批配客户按额度销售，部分地区对贸易商停售和限量，加之国内部分地区疫情反弹，汽柴油市场需求平稳。</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华北地区，国际油价短期内呈现上升态势，成本面对国内油价提振明显，本周内主营单位汽柴油价格高价持稳。具体来看，步入新的销售月，主营单位挺价运行，多家限量出售，加之疫情反弹，居民出行受限，下游业者入市采购积极性不大，市场整体成交气氛平淡。本周基建开工率上升，柴油需求回暖，但受制于高价，市场成交多以刚需为主。</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西北地区主营汽柴油价猛涨。周前期，成本面的大幅提升，地炼价格持续上调，推涨主营价格，成品油零售限价政策兑现，区内部分主营价格涨至最高批发限价，周中期，原油盘中大幅跳涨，主营成品油批发价格上涨明显，区内陕西大型地炼周末汽油价格累计上调400元/吨，柴油价格累计上调500元/吨，原油消息面提振市场，市场成交情况大好，加之近期柴油市场需求支撑充足，地炼及主营的价格推涨至高位，周末期，原油收盘暴跌，主营及地炼的价格逐步走稳，主营的价格小幅调整，基本维持稳定。</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原油收盘持续上行，价格触及2008年7月以来的最高水平。本周零售限价上调一次，西南地区内主营汽柴油价格整体上行，多数主营价格目前已至限价水平。汽油市场现归于平整，市场面暂无明显利好刺激，且前期价格冲高，直逼限价，柴油方面工程基建基本开始做工，但需求上仍以按需购买为主。具体来说，周期前，月初，主营单位销售压力较小，加之零售限价上调，汽柴油价格继续走涨，但市场整体交投一般，业者对高价资源接受度一般，业者补货心态谨慎，大多持币观望，谨慎交投。周期后，原油收盘继续走高，但区内主营价格多已涨至限价，随着各主营单位汽柴油价格涨至限价，市场接受度一般，市场观望氛围浓重，且近期汽柴油需求一般，仅按需购买，小单购进。虽天气转暖，开车出行意愿加强，工程基建也开工，但高价油抑制市场成交，整体出货乏力。</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本周(3月4日-3月10日)，原油价格刷新高，在高成本支撑下，东北地区内汽柴油价格涨至到位价。近期无节假日提振，且区内多地疫情爆发，居民汽车出行谨慎，受高油价影响，居民驾车出行意愿下降，汽油市场需求回落，但受原油支撑，汽油价格持续推涨至到位价。柴油方面，气温逐渐回升，基建开工以及春耕等生产活动增多，物流运输亦活跃，柴油需求持续提升，加之成本面强力支撑，柴油价格大幅上涨，目前均涨至批发限价水平。随零售限价上调兑现，车用成本继续增加，业者对高价抵触，入市操作谨慎，多按需补货为主。</w:t>
      </w:r>
    </w:p>
    <w:p>
      <w:pPr>
        <w:pStyle w:val="23"/>
        <w:keepNext w:val="0"/>
        <w:keepLines w:val="0"/>
        <w:widowControl/>
        <w:suppressLineNumbers w:val="0"/>
        <w:ind w:firstLine="360" w:firstLineChars="200"/>
        <w:rPr>
          <w:rFonts w:hint="eastAsia" w:eastAsia="宋体"/>
          <w:sz w:val="18"/>
          <w:szCs w:val="18"/>
        </w:rPr>
      </w:pPr>
      <w:r>
        <w:rPr>
          <w:rFonts w:hint="eastAsia" w:eastAsia="宋体"/>
          <w:sz w:val="18"/>
          <w:szCs w:val="18"/>
        </w:rPr>
        <w:t>后市预测：市场对可能产生能源危机风险担忧加剧，预计后期原油价格将继续上涨，消息面提振犹存，区内疫情形势严峻，居民出行谨慎，整体需求平平，柴油市场随生产活动的进一步复苏，需求将持续提升，但现已涨至位价，预计后期东北地区内主营汽柴油批发价格或稳中盘整为主。</w:t>
      </w: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2022/3/10</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9991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10266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10266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10847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10847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10370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10973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10922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10922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10883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10883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10962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10284</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10240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10438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10438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10517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10517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475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10475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10342</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10945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10337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10337</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10229</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10353</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10956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10956</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10300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 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2022/3/10</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1436</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9936</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1436</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9936</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7.72</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9214</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8645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8400</w:t>
            </w:r>
          </w:p>
        </w:tc>
      </w:tr>
    </w:tbl>
    <w:p>
      <w:pPr>
        <w:rPr>
          <w:rFonts w:hint="eastAsia" w:eastAsia="宋体"/>
          <w:color w:val="auto"/>
          <w:lang w:val="en-US" w:eastAsia="zh-CN"/>
        </w:rPr>
      </w:pPr>
    </w:p>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2022/3/10</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10397</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431</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10320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10040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2022/3/10</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8443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8656</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367</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8757</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8350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8443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8560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四、2021年12月份进出口统计数据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tabs>
          <w:tab w:val="left" w:pos="6720"/>
        </w:tabs>
        <w:rPr>
          <w:rFonts w:hint="eastAsia"/>
          <w:color w:val="auto"/>
        </w:rPr>
      </w:pPr>
      <w:bookmarkStart w:id="35" w:name="_GoBack"/>
      <w:bookmarkEnd w:id="35"/>
    </w:p>
    <w:p>
      <w:pPr>
        <w:rPr>
          <w:rFonts w:hint="eastAsia"/>
          <w:color w:val="auto"/>
        </w:rPr>
      </w:pPr>
    </w:p>
    <w:tbl>
      <w:tblPr>
        <w:tblStyle w:val="24"/>
        <w:tblW w:w="9779" w:type="dxa"/>
        <w:jc w:val="center"/>
        <w:shd w:val="clear" w:color="auto" w:fill="auto"/>
        <w:tblLayout w:type="autofit"/>
        <w:tblCellMar>
          <w:top w:w="0" w:type="dxa"/>
          <w:left w:w="0" w:type="dxa"/>
          <w:bottom w:w="0" w:type="dxa"/>
          <w:right w:w="0" w:type="dxa"/>
        </w:tblCellMar>
      </w:tblPr>
      <w:tblGrid>
        <w:gridCol w:w="3443"/>
        <w:gridCol w:w="1485"/>
        <w:gridCol w:w="1590"/>
        <w:gridCol w:w="1550"/>
        <w:gridCol w:w="1711"/>
      </w:tblGrid>
      <w:tr>
        <w:tblPrEx>
          <w:shd w:val="clear" w:color="auto" w:fill="auto"/>
          <w:tblCellMar>
            <w:top w:w="0" w:type="dxa"/>
            <w:left w:w="0" w:type="dxa"/>
            <w:bottom w:w="0" w:type="dxa"/>
            <w:right w:w="0" w:type="dxa"/>
          </w:tblCellMar>
        </w:tblPrEx>
        <w:trPr>
          <w:trHeight w:val="48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bookmarkStart w:id="30" w:name="_Toc31064"/>
            <w:r>
              <w:rPr>
                <w:rFonts w:hint="eastAsia" w:ascii="宋体" w:hAnsi="宋体" w:eastAsia="宋体" w:cs="宋体"/>
                <w:b/>
                <w:bCs/>
                <w:i w:val="0"/>
                <w:iCs w:val="0"/>
                <w:caps w:val="0"/>
                <w:color w:val="auto"/>
                <w:spacing w:val="0"/>
                <w:kern w:val="0"/>
                <w:sz w:val="18"/>
                <w:szCs w:val="18"/>
                <w:lang w:val="en-US" w:eastAsia="zh-CN" w:bidi="ar"/>
              </w:rPr>
              <w:t>商品名称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贸易伙伴名称</w:t>
            </w:r>
          </w:p>
        </w:tc>
        <w:tc>
          <w:tcPr>
            <w:tcW w:w="15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出口数量（吨）</w:t>
            </w:r>
          </w:p>
        </w:tc>
        <w:tc>
          <w:tcPr>
            <w:tcW w:w="15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出口金额（元）</w:t>
            </w:r>
          </w:p>
        </w:tc>
        <w:tc>
          <w:tcPr>
            <w:tcW w:w="171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lang w:val="en-US" w:eastAsia="zh-CN"/>
              </w:rPr>
            </w:pPr>
            <w:r>
              <w:rPr>
                <w:rFonts w:hint="eastAsia" w:ascii="宋体" w:hAnsi="宋体" w:eastAsia="宋体" w:cs="宋体"/>
                <w:b/>
                <w:bCs/>
                <w:i w:val="0"/>
                <w:iCs w:val="0"/>
                <w:caps w:val="0"/>
                <w:color w:val="auto"/>
                <w:spacing w:val="0"/>
                <w:kern w:val="0"/>
                <w:sz w:val="18"/>
                <w:szCs w:val="18"/>
                <w:lang w:val="en-US" w:eastAsia="zh-CN" w:bidi="ar"/>
              </w:rPr>
              <w:t>出口单价（元/吨）</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巴基斯坦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398486.253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1970971489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4946.15</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马来西亚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35047.358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112883171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3220.88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蒙古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4802.91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25570093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5323.88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缅甸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3242.004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14597432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4502.60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文莱</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36000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115865564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3218.49</w:t>
            </w:r>
          </w:p>
        </w:tc>
      </w:tr>
      <w:tr>
        <w:tblPrEx>
          <w:shd w:val="clear" w:color="auto" w:fill="auto"/>
          <w:tblCellMar>
            <w:top w:w="0" w:type="dxa"/>
            <w:left w:w="0" w:type="dxa"/>
            <w:bottom w:w="0" w:type="dxa"/>
            <w:right w:w="0" w:type="dxa"/>
          </w:tblCellMar>
        </w:tblPrEx>
        <w:trPr>
          <w:trHeight w:val="9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新加坡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312284.616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1408311215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4509.70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伊拉克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35952.654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158197936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4400.17</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印度尼西亚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103610.445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541868156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5229.86</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越南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5995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31238161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5210.70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中国澳门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3569.664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14005365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3923.44</w:t>
            </w:r>
          </w:p>
        </w:tc>
      </w:tr>
    </w:tbl>
    <w:p>
      <w:pPr>
        <w:pStyle w:val="3"/>
        <w:spacing w:before="120" w:after="120" w:line="240" w:lineRule="auto"/>
        <w:rPr>
          <w:rFonts w:hint="eastAsia" w:ascii="宋体" w:hAnsi="宋体"/>
          <w:b/>
          <w:color w:val="auto"/>
          <w:sz w:val="32"/>
          <w:szCs w:val="32"/>
        </w:rPr>
      </w:pPr>
      <w:bookmarkStart w:id="31" w:name="_Toc10780"/>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阿根廷</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安提瓜和巴布达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354.78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1682227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39577.11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178820684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366.10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1703851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16886.08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68545734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341696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2694711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139389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648.40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2664429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119222.80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501412084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1234792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1195699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40198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喀麦隆</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192444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5150.81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23667850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卢森堡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331877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1808.97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6958059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马来西亚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40242.46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188149696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2523.69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11828966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1425486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蒙古</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4003.07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21204186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40299.22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185646231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6208.87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26441634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598.68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2840249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2276403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84.61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441689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692607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沙特阿拉伯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394152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圣文森特和格林纳丁斯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249869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113.87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535430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193340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715674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21948.72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99257697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伊拉克</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4933313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印度尼西亚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713.50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3369146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141.93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746985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3974.95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13224872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217835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16698.37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67312023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325199.82</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1424529820.00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4380.48</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9952"/>
      <w:bookmarkStart w:id="34" w:name="_Toc20776"/>
      <w:r>
        <w:rPr>
          <w:rFonts w:hint="eastAsia" w:ascii="宋体" w:hAnsi="宋体" w:cs="Arial"/>
          <w:b/>
          <w:bCs/>
          <w:kern w:val="0"/>
          <w:sz w:val="36"/>
          <w:szCs w:val="36"/>
        </w:rPr>
        <w:t>2021年1</w:t>
      </w:r>
      <w:r>
        <w:rPr>
          <w:rFonts w:hint="eastAsia" w:ascii="宋体" w:hAnsi="宋体" w:cs="Arial"/>
          <w:b/>
          <w:bCs/>
          <w:kern w:val="0"/>
          <w:sz w:val="36"/>
          <w:szCs w:val="36"/>
          <w:lang w:val="en-US" w:eastAsia="zh-CN"/>
        </w:rPr>
        <w:t>2</w:t>
      </w:r>
      <w:r>
        <w:rPr>
          <w:rFonts w:hint="eastAsia" w:ascii="宋体" w:hAnsi="宋体" w:cs="Arial"/>
          <w:b/>
          <w:bCs/>
          <w:kern w:val="0"/>
          <w:sz w:val="36"/>
          <w:szCs w:val="36"/>
        </w:rPr>
        <w:t>月份全国原油进出口统计数据</w:t>
      </w:r>
    </w:p>
    <w:p>
      <w:pPr>
        <w:jc w:val="right"/>
        <w:rPr>
          <w:rFonts w:hint="eastAsia" w:ascii="宋体" w:hAnsi="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614"/>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进口来源国</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俄罗斯联邦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723.65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423668.27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沙特阿拉伯</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662.35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392847.18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伊拉克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501.16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291026.44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安哥拉</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403.61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230985.06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阿联酋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372.62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222298.37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阿曼</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362.22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215538.44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马来西亚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305.16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140517.31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巴西</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213.55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124755.17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科威特</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193.44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114907.23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哥伦比亚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130.1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69327.62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挪威</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126.97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69148.67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卡塔尔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75.99</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44697.12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英国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65.67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42053.25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美国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57.36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36082.65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利比亚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34927.74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加拿大</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42.96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刚果(布)</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22636.04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哈萨克斯坦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33.35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21050.34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圭亚那</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27.64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15915.92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喀麦隆</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15562.11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进口来源国</w:t>
            </w:r>
          </w:p>
        </w:tc>
        <w:tc>
          <w:tcPr>
            <w:tcW w:w="809"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万吨</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万美元</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伊朗</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26.03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14774.93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加蓬</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15817.2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厄瓜多尔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25.26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13940.74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加纳</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25.15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15765.93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尼日利亚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11728.42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科特迪瓦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14.58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8477.98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赤道几内亚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13.51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8218.41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也门</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7173.76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印度尼西亚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10.24</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5431.66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东帝汶</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5872.51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澳大利亚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5369.39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泰国</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2454.52</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越南</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2464.16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蒙古</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0.98</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4164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2668086.38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出口国家</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马来西亚</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25.66</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12012.24</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新加坡</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22.71</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11751.62</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韩国</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4.17</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2317.23</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555.77</w:t>
            </w:r>
          </w:p>
        </w:tc>
      </w:tr>
    </w:tbl>
    <w:p>
      <w:pPr>
        <w:widowControl/>
        <w:jc w:val="both"/>
        <w:rPr>
          <w:rFonts w:hint="eastAsia" w:ascii="宋体" w:hAnsi="宋体" w:cs="宋体"/>
          <w:color w:val="000000"/>
          <w:kern w:val="0"/>
          <w:szCs w:val="21"/>
        </w:rPr>
      </w:pPr>
    </w:p>
    <w:tbl>
      <w:tblPr>
        <w:tblStyle w:val="24"/>
        <w:tblpPr w:leftFromText="180" w:rightFromText="180" w:vertAnchor="text" w:horzAnchor="page" w:tblpX="1110" w:tblpY="298"/>
        <w:tblOverlap w:val="never"/>
        <w:tblW w:w="5000" w:type="pct"/>
        <w:tblInd w:w="0" w:type="dxa"/>
        <w:tblLayout w:type="autofit"/>
        <w:tblCellMar>
          <w:top w:w="0" w:type="dxa"/>
          <w:left w:w="108" w:type="dxa"/>
          <w:bottom w:w="0" w:type="dxa"/>
          <w:right w:w="108" w:type="dxa"/>
        </w:tblCellMar>
      </w:tblPr>
      <w:tblGrid>
        <w:gridCol w:w="2888"/>
        <w:gridCol w:w="1614"/>
        <w:gridCol w:w="2733"/>
        <w:gridCol w:w="2733"/>
      </w:tblGrid>
      <w:tr>
        <w:tblPrEx>
          <w:tblCellMar>
            <w:top w:w="0" w:type="dxa"/>
            <w:left w:w="108" w:type="dxa"/>
            <w:bottom w:w="0" w:type="dxa"/>
            <w:right w:w="108" w:type="dxa"/>
          </w:tblCellMar>
        </w:tblPrEx>
        <w:trPr>
          <w:trHeight w:val="330" w:hRule="atLeast"/>
        </w:trPr>
        <w:tc>
          <w:tcPr>
            <w:tcW w:w="144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3499.82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2043465.79</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583.88</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来料加工贸易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138.37</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82443.34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595.81</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929.52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515576.22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554.67</w:t>
            </w:r>
          </w:p>
        </w:tc>
      </w:tr>
      <w:tr>
        <w:tblPrEx>
          <w:tblCellMar>
            <w:top w:w="0" w:type="dxa"/>
            <w:left w:w="108" w:type="dxa"/>
            <w:bottom w:w="0" w:type="dxa"/>
            <w:right w:w="108" w:type="dxa"/>
          </w:tblCellMar>
        </w:tblPrEx>
        <w:trPr>
          <w:trHeight w:val="211"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海关特殊监管区域物流货物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46.24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26601.06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575.28</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4613.96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2668086.42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578.26</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出口均价（美元/吨）</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38.68</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18325</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473.78</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13.86</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7756.1</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559.41</w:t>
            </w:r>
          </w:p>
        </w:tc>
      </w:tr>
    </w:tbl>
    <w:p>
      <w:pPr>
        <w:widowControl/>
        <w:jc w:val="center"/>
        <w:rPr>
          <w:rFonts w:hint="eastAsia" w:ascii="宋体" w:hAnsi="宋体" w:cs="宋体"/>
          <w:color w:val="000000"/>
          <w:kern w:val="0"/>
          <w:szCs w:val="21"/>
        </w:rPr>
      </w:pPr>
    </w:p>
    <w:p>
      <w:pPr>
        <w:pStyle w:val="23"/>
        <w:ind w:firstLine="360" w:firstLineChars="200"/>
        <w:rPr>
          <w:rFonts w:hint="eastAsia" w:eastAsia="宋体"/>
          <w:sz w:val="18"/>
          <w:szCs w:val="18"/>
        </w:rPr>
      </w:pPr>
      <w:r>
        <w:rPr>
          <w:rFonts w:hint="eastAsia" w:eastAsia="宋体"/>
          <w:sz w:val="18"/>
          <w:szCs w:val="18"/>
        </w:rPr>
        <w:t>2021年12月份我国原油进口量在4614万吨，环比增加10.4%，进口均价578.3美元/吨，环比降低2%。其中俄罗斯进口量最大为723.65万吨，进口均价585.46美元/吨。</w:t>
      </w:r>
    </w:p>
    <w:p>
      <w:pPr>
        <w:pStyle w:val="23"/>
        <w:ind w:firstLine="360" w:firstLineChars="200"/>
        <w:rPr>
          <w:rFonts w:hint="eastAsia"/>
          <w:sz w:val="18"/>
          <w:szCs w:val="18"/>
        </w:rPr>
      </w:pPr>
      <w:r>
        <w:rPr>
          <w:rFonts w:hint="eastAsia" w:eastAsia="宋体"/>
          <w:sz w:val="18"/>
          <w:szCs w:val="18"/>
        </w:rPr>
        <w:t>2021年12月份我国原油出口量在52.5万吨，环比下降28%，出口均价496.4美元/吨，环比增长77.15%。</w:t>
      </w: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12月进口量:140132.26（吨）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12月出口量:591460.19（吨）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累计进口量:1373585.31吨）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累计出口量:8557380.46（吨）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当月进口均价:4418.12（元/吨）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当月出口均价:4384.22（元/吨）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累计进口均价：46224.40（元/吨）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累计出口均价:42706.25（元/吨）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进口量环比:134.45%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出口量环比：-37.23%</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进口量同比：-41.57%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出口量同比：36.47%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累计出口量比去年同期：-16.53</w:t>
            </w:r>
          </w:p>
        </w:tc>
      </w:tr>
    </w:tbl>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0D7CAE"/>
    <w:rsid w:val="0118675A"/>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8F0F77"/>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AC23D2"/>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7F7AFC"/>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9866AB"/>
    <w:rsid w:val="09BE1AF4"/>
    <w:rsid w:val="09C26D2C"/>
    <w:rsid w:val="09C57689"/>
    <w:rsid w:val="09C86F91"/>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C5771"/>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642C9E"/>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5B1499"/>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533015"/>
    <w:rsid w:val="0D731CA1"/>
    <w:rsid w:val="0D735A75"/>
    <w:rsid w:val="0D775B07"/>
    <w:rsid w:val="0D782A7C"/>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5D6D74"/>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0C1"/>
    <w:rsid w:val="0EF248CA"/>
    <w:rsid w:val="0EFB4176"/>
    <w:rsid w:val="0F034AA6"/>
    <w:rsid w:val="0F08360E"/>
    <w:rsid w:val="0F125E7D"/>
    <w:rsid w:val="0F1F0D30"/>
    <w:rsid w:val="0F206065"/>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80464"/>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E3B38"/>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24196"/>
    <w:rsid w:val="148F78DF"/>
    <w:rsid w:val="14997CF1"/>
    <w:rsid w:val="149A6A37"/>
    <w:rsid w:val="149C7CF0"/>
    <w:rsid w:val="149F165C"/>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AE1A47"/>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EA4D01"/>
    <w:rsid w:val="19F07148"/>
    <w:rsid w:val="19FC20AE"/>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9493B"/>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3C6958"/>
    <w:rsid w:val="1E4062B7"/>
    <w:rsid w:val="1E417BB3"/>
    <w:rsid w:val="1E450B99"/>
    <w:rsid w:val="1E4D2825"/>
    <w:rsid w:val="1E5542CC"/>
    <w:rsid w:val="1E64791C"/>
    <w:rsid w:val="1E676F14"/>
    <w:rsid w:val="1E6D6ABE"/>
    <w:rsid w:val="1E755624"/>
    <w:rsid w:val="1E764D52"/>
    <w:rsid w:val="1E8C73FA"/>
    <w:rsid w:val="1E9E3D33"/>
    <w:rsid w:val="1EA00084"/>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966C8"/>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C465C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604CC"/>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93A20"/>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AEA4EAD"/>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958B7"/>
    <w:rsid w:val="2C4C1107"/>
    <w:rsid w:val="2C785C6A"/>
    <w:rsid w:val="2C7C5CC5"/>
    <w:rsid w:val="2C7F4E3D"/>
    <w:rsid w:val="2C811341"/>
    <w:rsid w:val="2C823F4E"/>
    <w:rsid w:val="2C9D3080"/>
    <w:rsid w:val="2CA44349"/>
    <w:rsid w:val="2CAA70F0"/>
    <w:rsid w:val="2CAD067B"/>
    <w:rsid w:val="2CBD69A8"/>
    <w:rsid w:val="2CEC0EBC"/>
    <w:rsid w:val="2CF30447"/>
    <w:rsid w:val="2CFC1060"/>
    <w:rsid w:val="2CFD0FC0"/>
    <w:rsid w:val="2D050EBF"/>
    <w:rsid w:val="2D1A402A"/>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40320"/>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42A4E"/>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E928BF"/>
    <w:rsid w:val="31F938DC"/>
    <w:rsid w:val="31FC35FB"/>
    <w:rsid w:val="32010D04"/>
    <w:rsid w:val="3202665F"/>
    <w:rsid w:val="320A7836"/>
    <w:rsid w:val="32186725"/>
    <w:rsid w:val="323C3FDE"/>
    <w:rsid w:val="324163CA"/>
    <w:rsid w:val="32427A9A"/>
    <w:rsid w:val="32574FD8"/>
    <w:rsid w:val="325C547C"/>
    <w:rsid w:val="32646DB1"/>
    <w:rsid w:val="326C29F6"/>
    <w:rsid w:val="326E3F3C"/>
    <w:rsid w:val="327B3D21"/>
    <w:rsid w:val="327C3888"/>
    <w:rsid w:val="327E1445"/>
    <w:rsid w:val="3286221A"/>
    <w:rsid w:val="329338D7"/>
    <w:rsid w:val="32945DAC"/>
    <w:rsid w:val="329B3155"/>
    <w:rsid w:val="329C631F"/>
    <w:rsid w:val="32A24DE0"/>
    <w:rsid w:val="32AB0897"/>
    <w:rsid w:val="32AE266E"/>
    <w:rsid w:val="32B638BE"/>
    <w:rsid w:val="32B821ED"/>
    <w:rsid w:val="32CB3A84"/>
    <w:rsid w:val="32CD7010"/>
    <w:rsid w:val="32CE45BC"/>
    <w:rsid w:val="32D9201A"/>
    <w:rsid w:val="32DD3543"/>
    <w:rsid w:val="32E42D0F"/>
    <w:rsid w:val="32E779A4"/>
    <w:rsid w:val="330D4D94"/>
    <w:rsid w:val="33354DD5"/>
    <w:rsid w:val="33435E16"/>
    <w:rsid w:val="335F11B3"/>
    <w:rsid w:val="337B12FB"/>
    <w:rsid w:val="33846435"/>
    <w:rsid w:val="338D077F"/>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B376C"/>
    <w:rsid w:val="34DC79C0"/>
    <w:rsid w:val="34E32E56"/>
    <w:rsid w:val="34EC4B86"/>
    <w:rsid w:val="351321CB"/>
    <w:rsid w:val="351B4997"/>
    <w:rsid w:val="35316542"/>
    <w:rsid w:val="35367A72"/>
    <w:rsid w:val="355171EC"/>
    <w:rsid w:val="3558034A"/>
    <w:rsid w:val="355E299F"/>
    <w:rsid w:val="355E6D49"/>
    <w:rsid w:val="35671EE7"/>
    <w:rsid w:val="3572663B"/>
    <w:rsid w:val="357D4C50"/>
    <w:rsid w:val="35870510"/>
    <w:rsid w:val="3591419B"/>
    <w:rsid w:val="35925B04"/>
    <w:rsid w:val="35963717"/>
    <w:rsid w:val="35AB2A03"/>
    <w:rsid w:val="35AF3549"/>
    <w:rsid w:val="35BC70FA"/>
    <w:rsid w:val="35C76B42"/>
    <w:rsid w:val="35CA49CB"/>
    <w:rsid w:val="35DA5213"/>
    <w:rsid w:val="35E542AE"/>
    <w:rsid w:val="35E55944"/>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4B52EE"/>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A27AC"/>
    <w:rsid w:val="3C6E3E60"/>
    <w:rsid w:val="3C742BEB"/>
    <w:rsid w:val="3C744F7F"/>
    <w:rsid w:val="3C857740"/>
    <w:rsid w:val="3C8E02B7"/>
    <w:rsid w:val="3CA732CA"/>
    <w:rsid w:val="3CB004C5"/>
    <w:rsid w:val="3CB35047"/>
    <w:rsid w:val="3CB47F7E"/>
    <w:rsid w:val="3CB55DDB"/>
    <w:rsid w:val="3CB603EF"/>
    <w:rsid w:val="3CD00E00"/>
    <w:rsid w:val="3CD82621"/>
    <w:rsid w:val="3CDA00CF"/>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A0030"/>
    <w:rsid w:val="3F8B7DD4"/>
    <w:rsid w:val="3F901403"/>
    <w:rsid w:val="3FA21405"/>
    <w:rsid w:val="3FA67914"/>
    <w:rsid w:val="3FA96E5D"/>
    <w:rsid w:val="3FAD1589"/>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165AE"/>
    <w:rsid w:val="40EE33BE"/>
    <w:rsid w:val="40F436BC"/>
    <w:rsid w:val="40F61783"/>
    <w:rsid w:val="4100601D"/>
    <w:rsid w:val="410C664B"/>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671F5"/>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B25889"/>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357DC2"/>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53538"/>
    <w:rsid w:val="468B577B"/>
    <w:rsid w:val="46A075FA"/>
    <w:rsid w:val="46A359DC"/>
    <w:rsid w:val="46A54FB3"/>
    <w:rsid w:val="46C826C3"/>
    <w:rsid w:val="46D040D1"/>
    <w:rsid w:val="46D47B0B"/>
    <w:rsid w:val="46D7121E"/>
    <w:rsid w:val="46DF2798"/>
    <w:rsid w:val="46E07671"/>
    <w:rsid w:val="46F84FBA"/>
    <w:rsid w:val="46FF57CE"/>
    <w:rsid w:val="47154F60"/>
    <w:rsid w:val="47162E3C"/>
    <w:rsid w:val="47476572"/>
    <w:rsid w:val="47700BCB"/>
    <w:rsid w:val="47727F60"/>
    <w:rsid w:val="47732DB6"/>
    <w:rsid w:val="47763121"/>
    <w:rsid w:val="478601BF"/>
    <w:rsid w:val="47B41393"/>
    <w:rsid w:val="47B94CE5"/>
    <w:rsid w:val="47BB728F"/>
    <w:rsid w:val="47C254B8"/>
    <w:rsid w:val="47DF082A"/>
    <w:rsid w:val="47EB5003"/>
    <w:rsid w:val="47F72214"/>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561F8F"/>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11AF9"/>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573C7"/>
    <w:rsid w:val="51B661F2"/>
    <w:rsid w:val="51BB2EED"/>
    <w:rsid w:val="51BE3600"/>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E383C"/>
    <w:rsid w:val="547F46DA"/>
    <w:rsid w:val="54944893"/>
    <w:rsid w:val="549F75FE"/>
    <w:rsid w:val="54A51CC5"/>
    <w:rsid w:val="54AF6C60"/>
    <w:rsid w:val="54B52F94"/>
    <w:rsid w:val="54BD36E4"/>
    <w:rsid w:val="54C547A5"/>
    <w:rsid w:val="54D05C30"/>
    <w:rsid w:val="54DD78BD"/>
    <w:rsid w:val="54E06144"/>
    <w:rsid w:val="54E5258C"/>
    <w:rsid w:val="54F41FB5"/>
    <w:rsid w:val="54F52367"/>
    <w:rsid w:val="550A393D"/>
    <w:rsid w:val="5525121F"/>
    <w:rsid w:val="555900AE"/>
    <w:rsid w:val="555B6E77"/>
    <w:rsid w:val="555E09D9"/>
    <w:rsid w:val="555E54FB"/>
    <w:rsid w:val="556848E1"/>
    <w:rsid w:val="556B7B91"/>
    <w:rsid w:val="556D2811"/>
    <w:rsid w:val="55767F46"/>
    <w:rsid w:val="557821AC"/>
    <w:rsid w:val="55B10A36"/>
    <w:rsid w:val="55BF5B90"/>
    <w:rsid w:val="55CE1AD5"/>
    <w:rsid w:val="55E206FC"/>
    <w:rsid w:val="55ED37B8"/>
    <w:rsid w:val="55F04C52"/>
    <w:rsid w:val="55F35D23"/>
    <w:rsid w:val="560E1061"/>
    <w:rsid w:val="56281CBC"/>
    <w:rsid w:val="562878FA"/>
    <w:rsid w:val="56333685"/>
    <w:rsid w:val="56540424"/>
    <w:rsid w:val="56674A08"/>
    <w:rsid w:val="567466BA"/>
    <w:rsid w:val="567B7B50"/>
    <w:rsid w:val="568F0DF7"/>
    <w:rsid w:val="56A332D5"/>
    <w:rsid w:val="56AD59C6"/>
    <w:rsid w:val="56B85F25"/>
    <w:rsid w:val="56C325A5"/>
    <w:rsid w:val="56C4174F"/>
    <w:rsid w:val="56C918DC"/>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9E5E58"/>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CD3249"/>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D82CDA"/>
    <w:rsid w:val="59E474BD"/>
    <w:rsid w:val="59E869EC"/>
    <w:rsid w:val="59F574FE"/>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D50E72"/>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4B022D"/>
    <w:rsid w:val="5F63419E"/>
    <w:rsid w:val="5F6B086B"/>
    <w:rsid w:val="5F736746"/>
    <w:rsid w:val="5F7B52AA"/>
    <w:rsid w:val="5F880842"/>
    <w:rsid w:val="5F8B3911"/>
    <w:rsid w:val="5F950838"/>
    <w:rsid w:val="5FC1728F"/>
    <w:rsid w:val="5FD27659"/>
    <w:rsid w:val="5FD95A66"/>
    <w:rsid w:val="5FDF2255"/>
    <w:rsid w:val="5FDF7A00"/>
    <w:rsid w:val="5FE12AC5"/>
    <w:rsid w:val="5FF309C7"/>
    <w:rsid w:val="5FF67529"/>
    <w:rsid w:val="5FFC4765"/>
    <w:rsid w:val="5FFF6DC4"/>
    <w:rsid w:val="60046C0F"/>
    <w:rsid w:val="600E4F7F"/>
    <w:rsid w:val="601230C0"/>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AF5C1A"/>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32238"/>
    <w:rsid w:val="66087C36"/>
    <w:rsid w:val="660A413F"/>
    <w:rsid w:val="661A0E12"/>
    <w:rsid w:val="66214D7C"/>
    <w:rsid w:val="6624580B"/>
    <w:rsid w:val="6625001A"/>
    <w:rsid w:val="662A15EB"/>
    <w:rsid w:val="66356B67"/>
    <w:rsid w:val="665078F8"/>
    <w:rsid w:val="66707FEA"/>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214A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AB4C28"/>
    <w:rsid w:val="68B71B00"/>
    <w:rsid w:val="68B87F12"/>
    <w:rsid w:val="68C25CFA"/>
    <w:rsid w:val="68C731B8"/>
    <w:rsid w:val="68D536DE"/>
    <w:rsid w:val="68D979E8"/>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B526C"/>
    <w:rsid w:val="6D9F05AA"/>
    <w:rsid w:val="6DBE0F5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004A6"/>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4F3F90"/>
    <w:rsid w:val="6F5437E3"/>
    <w:rsid w:val="6F5879C5"/>
    <w:rsid w:val="6F591B5D"/>
    <w:rsid w:val="6F6127DE"/>
    <w:rsid w:val="6F737553"/>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31235"/>
    <w:rsid w:val="71C90ED8"/>
    <w:rsid w:val="71D72430"/>
    <w:rsid w:val="71E12038"/>
    <w:rsid w:val="71FC2D88"/>
    <w:rsid w:val="720A6753"/>
    <w:rsid w:val="720F4AFB"/>
    <w:rsid w:val="72112B83"/>
    <w:rsid w:val="72143F3C"/>
    <w:rsid w:val="721F61D9"/>
    <w:rsid w:val="722333A8"/>
    <w:rsid w:val="722A1999"/>
    <w:rsid w:val="72356373"/>
    <w:rsid w:val="723637B5"/>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420232"/>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01A5C"/>
    <w:rsid w:val="74C111AB"/>
    <w:rsid w:val="74C768EE"/>
    <w:rsid w:val="74CA493F"/>
    <w:rsid w:val="74E97F38"/>
    <w:rsid w:val="74ED6920"/>
    <w:rsid w:val="74F13E40"/>
    <w:rsid w:val="75065956"/>
    <w:rsid w:val="750B1697"/>
    <w:rsid w:val="751509C7"/>
    <w:rsid w:val="7525120A"/>
    <w:rsid w:val="752902C5"/>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756AB"/>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D95E1E"/>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456D9"/>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6F1B2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230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CFB1883"/>
    <w:rsid w:val="7D04426F"/>
    <w:rsid w:val="7D0E7370"/>
    <w:rsid w:val="7D187F51"/>
    <w:rsid w:val="7D2745EF"/>
    <w:rsid w:val="7D2D2CA0"/>
    <w:rsid w:val="7D4F7E21"/>
    <w:rsid w:val="7D5607A5"/>
    <w:rsid w:val="7D5C29E8"/>
    <w:rsid w:val="7D6C69AF"/>
    <w:rsid w:val="7D7A7BC6"/>
    <w:rsid w:val="7D823D52"/>
    <w:rsid w:val="7D995EB0"/>
    <w:rsid w:val="7DA26A7F"/>
    <w:rsid w:val="7DA90065"/>
    <w:rsid w:val="7DBB08B6"/>
    <w:rsid w:val="7DBC7173"/>
    <w:rsid w:val="7DC815C9"/>
    <w:rsid w:val="7DD90B59"/>
    <w:rsid w:val="7DEF15A6"/>
    <w:rsid w:val="7DF103B9"/>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8C2C66"/>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20</TotalTime>
  <ScaleCrop>false</ScaleCrop>
  <LinksUpToDate>false</LinksUpToDate>
  <CharactersWithSpaces>26786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2022-03-10T07:47:04Z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2052-11.1.0.11365</vt:lpwstr>
  </property>
  <property fmtid="{D5CDD505-2E9C-101B-9397-08002B2CF9AE}" pid="4" name="ICV">
    <vt:lpwstr>D366F8CEF0B34B9A839F473A36DCA92E</vt:lpwstr>
  </property>
</Properties>
</file>