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0288" behindDoc="1" locked="0" layoutInCell="1" allowOverlap="1">
            <wp:simplePos x="0" y="0"/>
            <wp:positionH relativeFrom="column">
              <wp:posOffset>-233045</wp:posOffset>
            </wp:positionH>
            <wp:positionV relativeFrom="paragraph">
              <wp:posOffset>-857885</wp:posOffset>
            </wp:positionV>
            <wp:extent cx="7648575" cy="10991850"/>
            <wp:effectExtent l="19050" t="0" r="9525" b="0"/>
            <wp:wrapNone/>
            <wp:docPr id="6" name="图片 1" descr="封面.jpg"/>
            <wp:cNvGraphicFramePr/>
            <a:graphic xmlns:a="http://schemas.openxmlformats.org/drawingml/2006/main">
              <a:graphicData uri="http://schemas.openxmlformats.org/drawingml/2006/picture">
                <pic:pic xmlns:pic="http://schemas.openxmlformats.org/drawingml/2006/picture">
                  <pic:nvPicPr>
                    <pic:cNvPr id="6" name="图片 1" descr="封面.jpg"/>
                    <pic:cNvPicPr>
                      <a:picLocks noChangeArrowheads="1"/>
                    </pic:cNvPicPr>
                  </pic:nvPicPr>
                  <pic:blipFill>
                    <a:blip r:embed="rId6"/>
                    <a:srcRect/>
                    <a:stretch>
                      <a:fillRect/>
                    </a:stretch>
                  </pic:blipFill>
                  <pic:spPr>
                    <a:xfrm>
                      <a:off x="0" y="0"/>
                      <a:ext cx="7648575" cy="10991850"/>
                    </a:xfrm>
                    <a:prstGeom prst="rect">
                      <a:avLst/>
                    </a:prstGeom>
                    <a:noFill/>
                    <a:ln w="9525">
                      <a:noFill/>
                      <a:miter lim="800000"/>
                      <a:headEnd/>
                      <a:tailEnd/>
                    </a:ln>
                  </pic:spPr>
                </pic:pic>
              </a:graphicData>
            </a:graphic>
          </wp:anchor>
        </w:drawing>
      </w:r>
    </w:p>
    <w:p>
      <w:pPr>
        <w:jc w:val="center"/>
        <w:rPr>
          <w:rFonts w:hint="eastAsia" w:eastAsiaTheme="minorEastAsia"/>
          <w:b/>
          <w:shadow/>
          <w:color w:val="000000"/>
          <w:sz w:val="28"/>
          <w:szCs w:val="28"/>
          <w:lang w:val="en-US" w:eastAsia="zh-CN"/>
        </w:rPr>
      </w:pPr>
      <w:r>
        <w:pict>
          <v:shape id="文本框 3" o:spid="_x0000_s2052" o:spt="202" alt="可选文字: 2016.06.23 &#10;&#10;&#10;&#10;" type="#_x0000_t202" style="position:absolute;left:0pt;margin-left:124.15pt;margin-top:470.8pt;height:109.2pt;width:319.1pt;z-index:251662336;mso-width-relative:page;mso-height-relative:page;" filled="f" stroked="f" coordsize="21600,21600">
            <v:path/>
            <v:fill on="f" focussize="0,0"/>
            <v:stroke on="f" joinstyle="miter"/>
            <v:imagedata o:title=""/>
            <o:lock v:ext="edit"/>
            <v:textbox>
              <w:txbxContent>
                <w:p>
                  <w:pPr>
                    <w:jc w:val="center"/>
                    <w:rPr>
                      <w:b/>
                      <w:sz w:val="36"/>
                      <w:szCs w:val="36"/>
                    </w:rPr>
                  </w:pPr>
                  <w:bookmarkStart w:id="211" w:name="_Toc488410109"/>
                  <w:bookmarkStart w:id="212" w:name="_Toc487197063"/>
                  <w:bookmarkStart w:id="213" w:name="_Toc492039391"/>
                  <w:r>
                    <w:rPr>
                      <w:rFonts w:hint="eastAsia"/>
                      <w:b/>
                      <w:sz w:val="36"/>
                      <w:szCs w:val="36"/>
                    </w:rPr>
                    <w:t>中商网磷化工</w:t>
                  </w:r>
                  <w:bookmarkEnd w:id="211"/>
                  <w:bookmarkEnd w:id="212"/>
                  <w:bookmarkEnd w:id="213"/>
                  <w:r>
                    <w:rPr>
                      <w:rFonts w:hint="eastAsia"/>
                      <w:b/>
                      <w:sz w:val="36"/>
                      <w:szCs w:val="36"/>
                    </w:rPr>
                    <w:t>周报</w:t>
                  </w:r>
                </w:p>
                <w:p>
                  <w:pPr>
                    <w:jc w:val="center"/>
                    <w:rPr>
                      <w:rFonts w:hint="default" w:eastAsiaTheme="minorEastAsia"/>
                      <w:b/>
                      <w:sz w:val="36"/>
                      <w:szCs w:val="36"/>
                      <w:lang w:val="en-US" w:eastAsia="zh-CN"/>
                    </w:rPr>
                  </w:pPr>
                  <w:r>
                    <w:rPr>
                      <w:rFonts w:hint="eastAsia"/>
                      <w:b/>
                      <w:sz w:val="36"/>
                      <w:szCs w:val="36"/>
                    </w:rPr>
                    <w:t>2022.</w:t>
                  </w:r>
                  <w:r>
                    <w:rPr>
                      <w:rFonts w:hint="eastAsia"/>
                      <w:b/>
                      <w:sz w:val="36"/>
                      <w:szCs w:val="36"/>
                      <w:lang w:val="en-US" w:eastAsia="zh-CN"/>
                    </w:rPr>
                    <w:t>4.1</w:t>
                  </w:r>
                </w:p>
                <w:p/>
              </w:txbxContent>
            </v:textbox>
          </v:shape>
        </w:pict>
      </w:r>
      <w:r>
        <w:pict>
          <v:shape id="文本框 2" o:spid="_x0000_s2051" o:spt="202" type="#_x0000_t202" style="position:absolute;left:0pt;margin-left:36.9pt;margin-top:577.2pt;height:119.95pt;width:430.35pt;z-index:251661312;mso-width-relative:page;mso-height-relative:page;" filled="f" stroked="f" coordsize="21600,21600">
            <v:path/>
            <v:fill on="f" focussize="0,0"/>
            <v:stroke on="f" joinstyle="miter"/>
            <v:imagedata o:title=""/>
            <o:lock v:ext="edit"/>
            <v:textbox>
              <w:txbxContent>
                <w:p>
                  <w:pPr>
                    <w:pStyle w:val="72"/>
                    <w:rPr>
                      <w:rFonts w:ascii="宋体" w:hAnsi="宋体"/>
                      <w:bCs/>
                      <w:kern w:val="2"/>
                      <w:sz w:val="18"/>
                      <w:szCs w:val="18"/>
                      <w:lang w:eastAsia="zh-CN"/>
                    </w:rPr>
                  </w:pPr>
                  <w:r>
                    <w:rPr>
                      <w:rFonts w:hint="eastAsia" w:ascii="宋体" w:hAnsi="宋体"/>
                      <w:bCs/>
                      <w:kern w:val="2"/>
                      <w:sz w:val="18"/>
                      <w:szCs w:val="18"/>
                      <w:lang w:eastAsia="zh-CN"/>
                    </w:rPr>
                    <w:t>责任编辑：刘冰</w:t>
                  </w:r>
                </w:p>
                <w:p>
                  <w:pPr>
                    <w:pStyle w:val="72"/>
                    <w:rPr>
                      <w:rFonts w:ascii="宋体" w:hAnsi="宋体"/>
                      <w:bCs/>
                      <w:kern w:val="2"/>
                      <w:sz w:val="18"/>
                      <w:szCs w:val="18"/>
                      <w:lang w:eastAsia="zh-CN"/>
                    </w:rPr>
                  </w:pPr>
                  <w:r>
                    <w:rPr>
                      <w:rFonts w:hint="eastAsia" w:ascii="宋体" w:hAnsi="宋体"/>
                      <w:bCs/>
                      <w:kern w:val="2"/>
                      <w:sz w:val="18"/>
                      <w:szCs w:val="18"/>
                      <w:lang w:eastAsia="zh-CN"/>
                    </w:rPr>
                    <w:t>电  话：</w:t>
                  </w:r>
                  <w:r>
                    <w:rPr>
                      <w:rFonts w:ascii="宋体" w:hAnsi="宋体"/>
                      <w:bCs/>
                      <w:kern w:val="2"/>
                      <w:sz w:val="18"/>
                      <w:szCs w:val="18"/>
                      <w:lang w:eastAsia="zh-CN"/>
                    </w:rPr>
                    <w:t>86-10-</w:t>
                  </w:r>
                  <w:r>
                    <w:rPr>
                      <w:rFonts w:hint="eastAsia" w:ascii="宋体" w:hAnsi="宋体"/>
                      <w:bCs/>
                      <w:kern w:val="2"/>
                      <w:sz w:val="18"/>
                      <w:szCs w:val="18"/>
                      <w:lang w:eastAsia="zh-CN"/>
                    </w:rPr>
                    <w:t>85725055</w:t>
                  </w:r>
                </w:p>
                <w:p>
                  <w:pPr>
                    <w:pStyle w:val="72"/>
                    <w:rPr>
                      <w:rFonts w:ascii="宋体" w:hAnsi="宋体"/>
                      <w:bCs/>
                      <w:kern w:val="2"/>
                      <w:sz w:val="18"/>
                      <w:szCs w:val="18"/>
                      <w:lang w:eastAsia="zh-CN"/>
                    </w:rPr>
                  </w:pPr>
                  <w:r>
                    <w:rPr>
                      <w:rFonts w:hint="eastAsia" w:ascii="宋体" w:hAnsi="宋体"/>
                      <w:bCs/>
                      <w:kern w:val="2"/>
                      <w:sz w:val="18"/>
                      <w:szCs w:val="18"/>
                      <w:lang w:eastAsia="zh-CN"/>
                    </w:rPr>
                    <w:t>传  真：</w:t>
                  </w:r>
                  <w:r>
                    <w:rPr>
                      <w:rFonts w:ascii="宋体" w:hAnsi="宋体"/>
                      <w:bCs/>
                      <w:kern w:val="2"/>
                      <w:sz w:val="18"/>
                      <w:szCs w:val="18"/>
                      <w:lang w:eastAsia="zh-CN"/>
                    </w:rPr>
                    <w:t>86-10-</w:t>
                  </w:r>
                  <w:r>
                    <w:rPr>
                      <w:rFonts w:hint="eastAsia" w:ascii="宋体" w:hAnsi="宋体"/>
                      <w:bCs/>
                      <w:kern w:val="2"/>
                      <w:sz w:val="18"/>
                      <w:szCs w:val="18"/>
                      <w:lang w:eastAsia="zh-CN"/>
                    </w:rPr>
                    <w:t>85725399</w:t>
                  </w:r>
                </w:p>
                <w:p>
                  <w:pPr>
                    <w:pStyle w:val="72"/>
                    <w:rPr>
                      <w:rFonts w:ascii="宋体" w:hAnsi="宋体"/>
                      <w:bCs/>
                      <w:kern w:val="2"/>
                      <w:sz w:val="18"/>
                      <w:szCs w:val="18"/>
                      <w:lang w:eastAsia="zh-CN"/>
                    </w:rPr>
                  </w:pPr>
                  <w:r>
                    <w:rPr>
                      <w:rFonts w:hint="eastAsia" w:ascii="宋体" w:hAnsi="宋体"/>
                      <w:bCs/>
                      <w:kern w:val="2"/>
                      <w:sz w:val="18"/>
                      <w:szCs w:val="18"/>
                      <w:lang w:eastAsia="zh-CN"/>
                    </w:rPr>
                    <w:t>编辑邮箱：yly@chinaccm.com</w:t>
                  </w:r>
                </w:p>
                <w:p>
                  <w:pPr>
                    <w:pStyle w:val="72"/>
                    <w:rPr>
                      <w:rFonts w:ascii="宋体" w:hAnsi="宋体"/>
                      <w:bCs/>
                      <w:kern w:val="2"/>
                      <w:sz w:val="18"/>
                      <w:szCs w:val="18"/>
                      <w:lang w:eastAsia="zh-CN"/>
                    </w:rPr>
                  </w:pPr>
                  <w:r>
                    <w:rPr>
                      <w:rFonts w:hint="eastAsia" w:ascii="宋体" w:hAnsi="宋体"/>
                      <w:bCs/>
                      <w:kern w:val="2"/>
                      <w:sz w:val="18"/>
                      <w:szCs w:val="18"/>
                      <w:lang w:eastAsia="zh-CN"/>
                    </w:rPr>
                    <w:t>地址：</w:t>
                  </w:r>
                  <w:r>
                    <w:rPr>
                      <w:rFonts w:ascii="宋体" w:hAnsi="宋体"/>
                      <w:bCs/>
                      <w:kern w:val="2"/>
                      <w:sz w:val="18"/>
                      <w:szCs w:val="18"/>
                      <w:lang w:eastAsia="zh-CN"/>
                    </w:rPr>
                    <w:t xml:space="preserve">北京市朝阳区惠河南街1091号中商联大厦 </w:t>
                  </w:r>
                </w:p>
              </w:txbxContent>
            </v:textbox>
          </v:shape>
        </w:pict>
      </w:r>
      <w:r>
        <w:br w:type="page"/>
      </w:r>
      <w:r>
        <w:rPr>
          <w:rFonts w:hint="eastAsia"/>
          <w:b/>
          <w:shadow/>
          <w:color w:val="000000"/>
          <w:sz w:val="28"/>
          <w:szCs w:val="28"/>
        </w:rPr>
        <w:t>2022.3.</w:t>
      </w:r>
      <w:r>
        <w:rPr>
          <w:rFonts w:hint="eastAsia"/>
          <w:b/>
          <w:shadow/>
          <w:color w:val="000000"/>
          <w:sz w:val="28"/>
          <w:szCs w:val="28"/>
          <w:lang w:val="en-US" w:eastAsia="zh-CN"/>
        </w:rPr>
        <w:t>25</w:t>
      </w:r>
      <w:r>
        <w:rPr>
          <w:rFonts w:hint="eastAsia"/>
          <w:b/>
          <w:shadow/>
          <w:color w:val="000000"/>
          <w:sz w:val="28"/>
          <w:szCs w:val="28"/>
        </w:rPr>
        <w:t>-2022.</w:t>
      </w:r>
      <w:r>
        <w:rPr>
          <w:rFonts w:hint="eastAsia"/>
          <w:b/>
          <w:shadow/>
          <w:color w:val="000000"/>
          <w:sz w:val="28"/>
          <w:szCs w:val="28"/>
          <w:lang w:val="en-US" w:eastAsia="zh-CN"/>
        </w:rPr>
        <w:t>4</w:t>
      </w:r>
      <w:r>
        <w:rPr>
          <w:rFonts w:hint="eastAsia"/>
          <w:b/>
          <w:shadow/>
          <w:color w:val="000000"/>
          <w:sz w:val="28"/>
          <w:szCs w:val="28"/>
        </w:rPr>
        <w:t>.</w:t>
      </w:r>
      <w:r>
        <w:rPr>
          <w:rFonts w:hint="eastAsia"/>
          <w:b/>
          <w:shadow/>
          <w:color w:val="000000"/>
          <w:sz w:val="28"/>
          <w:szCs w:val="28"/>
          <w:lang w:val="en-US" w:eastAsia="zh-CN"/>
        </w:rPr>
        <w:t>1</w:t>
      </w:r>
    </w:p>
    <w:p>
      <w:pPr>
        <w:spacing w:line="360" w:lineRule="auto"/>
        <w:jc w:val="center"/>
        <w:rPr>
          <w:b/>
          <w:color w:val="000000"/>
          <w:sz w:val="32"/>
          <w:szCs w:val="32"/>
        </w:rPr>
      </w:pPr>
      <w:r>
        <w:rPr>
          <w:rFonts w:hint="eastAsia"/>
          <w:b/>
          <w:color w:val="000000"/>
          <w:sz w:val="32"/>
          <w:szCs w:val="32"/>
        </w:rPr>
        <w:t>目   录</w:t>
      </w:r>
    </w:p>
    <w:p>
      <w:pPr>
        <w:pStyle w:val="17"/>
        <w:tabs>
          <w:tab w:val="left" w:pos="840"/>
        </w:tabs>
      </w:pPr>
      <w:r>
        <w:rPr>
          <w:rFonts w:hint="eastAsia"/>
          <w:b w:val="0"/>
          <w:emboss/>
          <w:sz w:val="32"/>
          <w:szCs w:val="32"/>
        </w:rPr>
        <w:t>（仅限公司内部参阅）</w:t>
      </w:r>
      <w:r>
        <w:rPr>
          <w:sz w:val="28"/>
          <w:szCs w:val="28"/>
        </w:rPr>
        <w:fldChar w:fldCharType="begin"/>
      </w:r>
      <w:r>
        <w:rPr>
          <w:sz w:val="28"/>
          <w:szCs w:val="28"/>
        </w:rPr>
        <w:instrText xml:space="preserve"> TOC \o "1-3" \h \z \u </w:instrText>
      </w:r>
      <w:r>
        <w:rPr>
          <w:sz w:val="28"/>
          <w:szCs w:val="28"/>
        </w:rPr>
        <w:fldChar w:fldCharType="separate"/>
      </w:r>
    </w:p>
    <w:p>
      <w:pPr>
        <w:pStyle w:val="17"/>
        <w:rPr>
          <w:rFonts w:asciiTheme="minorHAnsi" w:hAnsiTheme="minorHAnsi" w:eastAsiaTheme="minorEastAsia" w:cstheme="minorBidi"/>
          <w:b w:val="0"/>
          <w:bCs w:val="0"/>
          <w:caps w:val="0"/>
          <w:color w:val="auto"/>
          <w:sz w:val="21"/>
          <w:szCs w:val="22"/>
        </w:rPr>
      </w:pPr>
      <w:r>
        <w:fldChar w:fldCharType="begin"/>
      </w:r>
      <w:r>
        <w:instrText xml:space="preserve"> HYPERLINK \l "_Toc97282575" </w:instrText>
      </w:r>
      <w:r>
        <w:fldChar w:fldCharType="separate"/>
      </w:r>
      <w:r>
        <w:rPr>
          <w:rStyle w:val="32"/>
          <w:rFonts w:hint="eastAsia" w:cs="Arial"/>
          <w:kern w:val="0"/>
        </w:rPr>
        <w:t>评述：中国磷矿石市场一周评述及后市预测</w:t>
      </w:r>
      <w:r>
        <w:tab/>
      </w:r>
      <w:r>
        <w:fldChar w:fldCharType="begin"/>
      </w:r>
      <w:r>
        <w:instrText xml:space="preserve"> PAGEREF _Toc97282575 \h </w:instrText>
      </w:r>
      <w:r>
        <w:fldChar w:fldCharType="separate"/>
      </w:r>
      <w:r>
        <w:t>3</w:t>
      </w:r>
      <w:r>
        <w:fldChar w:fldCharType="end"/>
      </w:r>
      <w:r>
        <w:fldChar w:fldCharType="end"/>
      </w:r>
    </w:p>
    <w:p>
      <w:pPr>
        <w:pStyle w:val="17"/>
        <w:rPr>
          <w:rFonts w:asciiTheme="minorHAnsi" w:hAnsiTheme="minorHAnsi" w:eastAsiaTheme="minorEastAsia" w:cstheme="minorBidi"/>
          <w:b w:val="0"/>
          <w:bCs w:val="0"/>
          <w:caps w:val="0"/>
          <w:color w:val="auto"/>
          <w:sz w:val="21"/>
          <w:szCs w:val="22"/>
        </w:rPr>
      </w:pPr>
      <w:r>
        <w:fldChar w:fldCharType="begin"/>
      </w:r>
      <w:r>
        <w:instrText xml:space="preserve"> HYPERLINK \l "_Toc97282576" </w:instrText>
      </w:r>
      <w:r>
        <w:fldChar w:fldCharType="separate"/>
      </w:r>
      <w:r>
        <w:rPr>
          <w:rStyle w:val="32"/>
          <w:rFonts w:hint="eastAsia" w:cs="Arial"/>
          <w:kern w:val="0"/>
        </w:rPr>
        <w:t>国际：</w:t>
      </w:r>
      <w:r>
        <w:rPr>
          <w:rStyle w:val="32"/>
          <w:rFonts w:cs="Arial"/>
          <w:kern w:val="0"/>
        </w:rPr>
        <w:t>2022</w:t>
      </w:r>
      <w:r>
        <w:rPr>
          <w:rStyle w:val="32"/>
          <w:rFonts w:hint="eastAsia" w:cs="Arial"/>
          <w:kern w:val="0"/>
        </w:rPr>
        <w:t>年</w:t>
      </w:r>
      <w:r>
        <w:rPr>
          <w:rStyle w:val="32"/>
          <w:rFonts w:cs="Arial"/>
          <w:kern w:val="0"/>
        </w:rPr>
        <w:t>3</w:t>
      </w:r>
      <w:r>
        <w:rPr>
          <w:rStyle w:val="32"/>
          <w:rFonts w:hint="eastAsia" w:cs="Arial"/>
          <w:kern w:val="0"/>
        </w:rPr>
        <w:t>月</w:t>
      </w:r>
      <w:r>
        <w:rPr>
          <w:rStyle w:val="32"/>
          <w:rFonts w:hint="eastAsia" w:cs="Arial"/>
          <w:kern w:val="0"/>
          <w:lang w:val="en-US" w:eastAsia="zh-CN"/>
        </w:rPr>
        <w:t>31</w:t>
      </w:r>
      <w:r>
        <w:rPr>
          <w:rStyle w:val="32"/>
          <w:rFonts w:hint="eastAsia" w:cs="Arial"/>
          <w:kern w:val="0"/>
        </w:rPr>
        <w:t>日磷矿石国际行情</w:t>
      </w:r>
      <w:r>
        <w:tab/>
      </w:r>
      <w:r>
        <w:fldChar w:fldCharType="begin"/>
      </w:r>
      <w:r>
        <w:instrText xml:space="preserve"> PAGEREF _Toc97282576 \h </w:instrText>
      </w:r>
      <w:r>
        <w:fldChar w:fldCharType="separate"/>
      </w:r>
      <w:r>
        <w:t>3</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"_Toc97282577" </w:instrText>
      </w:r>
      <w:r>
        <w:fldChar w:fldCharType="separate"/>
      </w:r>
      <w:r>
        <w:rPr>
          <w:rStyle w:val="32"/>
          <w:rFonts w:hint="eastAsia"/>
        </w:rPr>
        <w:t>国际：磷矿石价格指数</w:t>
      </w:r>
      <w:r>
        <w:tab/>
      </w:r>
      <w:r>
        <w:fldChar w:fldCharType="begin"/>
      </w:r>
      <w:r>
        <w:instrText xml:space="preserve"> PAGEREF _Toc97282577 \h </w:instrText>
      </w:r>
      <w:r>
        <w:fldChar w:fldCharType="separate"/>
      </w:r>
      <w:r>
        <w:t>3</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"_Toc97282578" </w:instrText>
      </w:r>
      <w:r>
        <w:fldChar w:fldCharType="separate"/>
      </w:r>
      <w:r>
        <w:rPr>
          <w:rStyle w:val="32"/>
          <w:rFonts w:hint="eastAsia"/>
        </w:rPr>
        <w:t>国际磷矿石参考价格</w:t>
      </w:r>
      <w:r>
        <w:tab/>
      </w:r>
      <w:r>
        <w:fldChar w:fldCharType="begin"/>
      </w:r>
      <w:r>
        <w:instrText xml:space="preserve"> PAGEREF _Toc97282578 \h </w:instrText>
      </w:r>
      <w:r>
        <w:fldChar w:fldCharType="separate"/>
      </w:r>
      <w:r>
        <w:t>4</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"_Toc97282579" </w:instrText>
      </w:r>
      <w:r>
        <w:fldChar w:fldCharType="separate"/>
      </w:r>
      <w:r>
        <w:rPr>
          <w:rStyle w:val="32"/>
          <w:rFonts w:hint="eastAsia"/>
        </w:rPr>
        <w:t>国内：磷矿石价格指数（企业车板报价）</w:t>
      </w:r>
      <w:r>
        <w:tab/>
      </w:r>
      <w:r>
        <w:fldChar w:fldCharType="begin"/>
      </w:r>
      <w:r>
        <w:instrText xml:space="preserve"> PAGEREF _Toc97282579 \h </w:instrText>
      </w:r>
      <w:r>
        <w:fldChar w:fldCharType="separate"/>
      </w:r>
      <w:r>
        <w:t>4</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"_Toc97282580" </w:instrText>
      </w:r>
      <w:r>
        <w:fldChar w:fldCharType="separate"/>
      </w:r>
      <w:r>
        <w:rPr>
          <w:rStyle w:val="32"/>
          <w:rFonts w:hint="eastAsia"/>
        </w:rPr>
        <w:t>国内主产区域磷矿石价格汇总（单位：元</w:t>
      </w:r>
      <w:r>
        <w:rPr>
          <w:rStyle w:val="32"/>
        </w:rPr>
        <w:t>/</w:t>
      </w:r>
      <w:r>
        <w:rPr>
          <w:rStyle w:val="32"/>
          <w:rFonts w:hint="eastAsia"/>
        </w:rPr>
        <w:t>吨）</w:t>
      </w:r>
      <w:r>
        <w:tab/>
      </w:r>
      <w:r>
        <w:fldChar w:fldCharType="begin"/>
      </w:r>
      <w:r>
        <w:instrText xml:space="preserve"> PAGEREF _Toc97282580 \h </w:instrText>
      </w:r>
      <w:r>
        <w:fldChar w:fldCharType="separate"/>
      </w:r>
      <w:r>
        <w:t>5</w:t>
      </w:r>
      <w:r>
        <w:fldChar w:fldCharType="end"/>
      </w:r>
      <w:r>
        <w:fldChar w:fldCharType="end"/>
      </w:r>
    </w:p>
    <w:p>
      <w:pPr>
        <w:pStyle w:val="17"/>
        <w:rPr>
          <w:rFonts w:asciiTheme="minorHAnsi" w:hAnsiTheme="minorHAnsi" w:eastAsiaTheme="minorEastAsia" w:cstheme="minorBidi"/>
          <w:b w:val="0"/>
          <w:bCs w:val="0"/>
          <w:caps w:val="0"/>
          <w:color w:val="auto"/>
          <w:sz w:val="21"/>
          <w:szCs w:val="22"/>
        </w:rPr>
      </w:pPr>
      <w:r>
        <w:fldChar w:fldCharType="begin"/>
      </w:r>
      <w:r>
        <w:instrText xml:space="preserve"> HYPERLINK \l "_Toc97282581" </w:instrText>
      </w:r>
      <w:r>
        <w:fldChar w:fldCharType="separate"/>
      </w:r>
      <w:r>
        <w:rPr>
          <w:rStyle w:val="32"/>
          <w:rFonts w:hint="eastAsia"/>
        </w:rPr>
        <w:t>黄磷</w:t>
      </w:r>
      <w:r>
        <w:tab/>
      </w:r>
      <w:r>
        <w:fldChar w:fldCharType="begin"/>
      </w:r>
      <w:r>
        <w:instrText xml:space="preserve"> PAGEREF _Toc97282581 \h </w:instrText>
      </w:r>
      <w:r>
        <w:fldChar w:fldCharType="separate"/>
      </w:r>
      <w:r>
        <w:t>5</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"_Toc97282582" </w:instrText>
      </w:r>
      <w:r>
        <w:fldChar w:fldCharType="separate"/>
      </w:r>
      <w:r>
        <w:rPr>
          <w:rStyle w:val="32"/>
          <w:rFonts w:hint="eastAsia"/>
        </w:rPr>
        <w:t>评述：中国黄磷市场一周评述及后市预测</w:t>
      </w:r>
      <w:r>
        <w:tab/>
      </w:r>
      <w:r>
        <w:fldChar w:fldCharType="begin"/>
      </w:r>
      <w:r>
        <w:instrText xml:space="preserve"> PAGEREF _Toc97282582 \h </w:instrText>
      </w:r>
      <w:r>
        <w:fldChar w:fldCharType="separate"/>
      </w:r>
      <w:r>
        <w:t>5</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"_Toc97282583" </w:instrText>
      </w:r>
      <w:r>
        <w:fldChar w:fldCharType="separate"/>
      </w:r>
      <w:r>
        <w:rPr>
          <w:rStyle w:val="32"/>
          <w:rFonts w:hint="eastAsia"/>
        </w:rPr>
        <w:t>国内：黄磷价格指数参考</w:t>
      </w:r>
      <w:r>
        <w:tab/>
      </w:r>
      <w:r>
        <w:fldChar w:fldCharType="begin"/>
      </w:r>
      <w:r>
        <w:instrText xml:space="preserve"> PAGEREF _Toc97282583 \h </w:instrText>
      </w:r>
      <w:r>
        <w:fldChar w:fldCharType="separate"/>
      </w:r>
      <w:r>
        <w:t>5</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"_Toc97282584" </w:instrText>
      </w:r>
      <w:r>
        <w:fldChar w:fldCharType="separate"/>
      </w:r>
      <w:r>
        <w:rPr>
          <w:rStyle w:val="32"/>
          <w:rFonts w:hint="eastAsia"/>
        </w:rPr>
        <w:t>本周部分企业黄磷出厂价格周汇总</w:t>
      </w:r>
      <w:r>
        <w:tab/>
      </w:r>
      <w:r>
        <w:fldChar w:fldCharType="begin"/>
      </w:r>
      <w:r>
        <w:instrText xml:space="preserve"> PAGEREF _Toc97282584 \h </w:instrText>
      </w:r>
      <w:r>
        <w:fldChar w:fldCharType="separate"/>
      </w:r>
      <w:r>
        <w:t>6</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"_Toc97282585" </w:instrText>
      </w:r>
      <w:r>
        <w:fldChar w:fldCharType="separate"/>
      </w:r>
      <w:r>
        <w:rPr>
          <w:rStyle w:val="32"/>
          <w:rFonts w:hint="eastAsia"/>
        </w:rPr>
        <w:t>本周国内黄磷主产区市场成交价格（单位：元</w:t>
      </w:r>
      <w:r>
        <w:rPr>
          <w:rStyle w:val="32"/>
        </w:rPr>
        <w:t>/</w:t>
      </w:r>
      <w:r>
        <w:rPr>
          <w:rStyle w:val="32"/>
          <w:rFonts w:hint="eastAsia"/>
        </w:rPr>
        <w:t>吨）</w:t>
      </w:r>
      <w:r>
        <w:tab/>
      </w:r>
      <w:r>
        <w:fldChar w:fldCharType="begin"/>
      </w:r>
      <w:r>
        <w:instrText xml:space="preserve"> PAGEREF _Toc97282585 \h </w:instrText>
      </w:r>
      <w:r>
        <w:fldChar w:fldCharType="separate"/>
      </w:r>
      <w:r>
        <w:t>7</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"_Toc97282586" </w:instrText>
      </w:r>
      <w:r>
        <w:fldChar w:fldCharType="separate"/>
      </w:r>
      <w:r>
        <w:rPr>
          <w:rStyle w:val="32"/>
          <w:rFonts w:hint="eastAsia"/>
        </w:rPr>
        <w:t>磷酸</w:t>
      </w:r>
      <w:r>
        <w:tab/>
      </w:r>
      <w:r>
        <w:fldChar w:fldCharType="begin"/>
      </w:r>
      <w:r>
        <w:instrText xml:space="preserve"> PAGEREF _Toc97282586 \h </w:instrText>
      </w:r>
      <w:r>
        <w:fldChar w:fldCharType="separate"/>
      </w:r>
      <w:r>
        <w:t>8</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"_Toc97282587" </w:instrText>
      </w:r>
      <w:r>
        <w:fldChar w:fldCharType="separate"/>
      </w:r>
      <w:r>
        <w:rPr>
          <w:rStyle w:val="32"/>
          <w:rFonts w:hint="eastAsia"/>
        </w:rPr>
        <w:t>磷酸</w:t>
      </w:r>
      <w:r>
        <w:tab/>
      </w:r>
      <w:r>
        <w:fldChar w:fldCharType="begin"/>
      </w:r>
      <w:r>
        <w:instrText xml:space="preserve"> PAGEREF _Toc97282587 \h </w:instrText>
      </w:r>
      <w:r>
        <w:fldChar w:fldCharType="separate"/>
      </w:r>
      <w:r>
        <w:t>8</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"_Toc97282588" </w:instrText>
      </w:r>
      <w:r>
        <w:fldChar w:fldCharType="separate"/>
      </w:r>
      <w:r>
        <w:rPr>
          <w:rStyle w:val="32"/>
          <w:rFonts w:hint="eastAsia"/>
        </w:rPr>
        <w:t>国内：磷酸价格指数</w:t>
      </w:r>
      <w:r>
        <w:tab/>
      </w:r>
      <w:r>
        <w:fldChar w:fldCharType="begin"/>
      </w:r>
      <w:r>
        <w:instrText xml:space="preserve"> PAGEREF _Toc97282588 \h </w:instrText>
      </w:r>
      <w:r>
        <w:fldChar w:fldCharType="separate"/>
      </w:r>
      <w:r>
        <w:t>8</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"_Toc97282589" </w:instrText>
      </w:r>
      <w:r>
        <w:fldChar w:fldCharType="separate"/>
      </w:r>
      <w:r>
        <w:rPr>
          <w:rStyle w:val="32"/>
          <w:rFonts w:hint="eastAsia"/>
        </w:rPr>
        <w:t>磷酸国际：磷酸价格指数</w:t>
      </w:r>
      <w:r>
        <w:tab/>
      </w:r>
      <w:r>
        <w:fldChar w:fldCharType="begin"/>
      </w:r>
      <w:r>
        <w:instrText xml:space="preserve"> PAGEREF _Toc97282589 \h </w:instrText>
      </w:r>
      <w:r>
        <w:fldChar w:fldCharType="separate"/>
      </w:r>
      <w:r>
        <w:t>9</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"_Toc97282590" </w:instrText>
      </w:r>
      <w:r>
        <w:fldChar w:fldCharType="separate"/>
      </w:r>
      <w:r>
        <w:rPr>
          <w:rStyle w:val="32"/>
          <w:rFonts w:hint="eastAsia"/>
        </w:rPr>
        <w:t>本周部分企业磷酸出厂价格周汇总</w:t>
      </w:r>
      <w:r>
        <w:tab/>
      </w:r>
      <w:r>
        <w:fldChar w:fldCharType="begin"/>
      </w:r>
      <w:r>
        <w:instrText xml:space="preserve"> PAGEREF _Toc97282590 \h </w:instrText>
      </w:r>
      <w:r>
        <w:fldChar w:fldCharType="separate"/>
      </w:r>
      <w:r>
        <w:t>9</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"_Toc97282591" </w:instrText>
      </w:r>
      <w:r>
        <w:fldChar w:fldCharType="separate"/>
      </w:r>
      <w:r>
        <w:rPr>
          <w:rStyle w:val="32"/>
          <w:rFonts w:hint="eastAsia"/>
        </w:rPr>
        <w:t>本周国内磷酸主产区市场参考价格</w:t>
      </w:r>
      <w:r>
        <w:tab/>
      </w:r>
      <w:r>
        <w:fldChar w:fldCharType="begin"/>
      </w:r>
      <w:r>
        <w:instrText xml:space="preserve"> PAGEREF _Toc97282591 \h </w:instrText>
      </w:r>
      <w:r>
        <w:fldChar w:fldCharType="separate"/>
      </w:r>
      <w:r>
        <w:t>11</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"_Toc97282592" </w:instrText>
      </w:r>
      <w:r>
        <w:fldChar w:fldCharType="separate"/>
      </w:r>
      <w:r>
        <w:rPr>
          <w:rStyle w:val="32"/>
          <w:rFonts w:hint="eastAsia"/>
        </w:rPr>
        <w:t>磷酸盐</w:t>
      </w:r>
      <w:r>
        <w:tab/>
      </w:r>
      <w:r>
        <w:fldChar w:fldCharType="begin"/>
      </w:r>
      <w:r>
        <w:instrText xml:space="preserve"> PAGEREF _Toc97282592 \h </w:instrText>
      </w:r>
      <w:r>
        <w:fldChar w:fldCharType="separate"/>
      </w:r>
      <w:r>
        <w:t>12</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"_Toc97282593" </w:instrText>
      </w:r>
      <w:r>
        <w:fldChar w:fldCharType="separate"/>
      </w:r>
      <w:r>
        <w:rPr>
          <w:rStyle w:val="32"/>
          <w:rFonts w:hint="eastAsia"/>
        </w:rPr>
        <w:t>三聚磷酸钠</w:t>
      </w:r>
      <w:r>
        <w:tab/>
      </w:r>
      <w:r>
        <w:fldChar w:fldCharType="begin"/>
      </w:r>
      <w:r>
        <w:instrText xml:space="preserve"> PAGEREF _Toc97282593 \h </w:instrText>
      </w:r>
      <w:r>
        <w:fldChar w:fldCharType="separate"/>
      </w:r>
      <w:r>
        <w:t>12</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"_Toc97282594" </w:instrText>
      </w:r>
      <w:r>
        <w:fldChar w:fldCharType="separate"/>
      </w:r>
      <w:r>
        <w:rPr>
          <w:rStyle w:val="32"/>
          <w:rFonts w:hint="eastAsia"/>
        </w:rPr>
        <w:t>评述：中国三聚磷酸钠市场一周评述及后市预测</w:t>
      </w:r>
      <w:r>
        <w:tab/>
      </w:r>
      <w:r>
        <w:fldChar w:fldCharType="begin"/>
      </w:r>
      <w:r>
        <w:instrText xml:space="preserve"> PAGEREF _Toc97282594 \h </w:instrText>
      </w:r>
      <w:r>
        <w:fldChar w:fldCharType="separate"/>
      </w:r>
      <w:r>
        <w:t>12</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"_Toc97282595" </w:instrText>
      </w:r>
      <w:r>
        <w:fldChar w:fldCharType="separate"/>
      </w:r>
      <w:r>
        <w:rPr>
          <w:rStyle w:val="32"/>
          <w:rFonts w:hint="eastAsia"/>
        </w:rPr>
        <w:t>部分企业三聚磷酸钠出厂价格周汇总</w:t>
      </w:r>
      <w:r>
        <w:tab/>
      </w:r>
      <w:r>
        <w:fldChar w:fldCharType="begin"/>
      </w:r>
      <w:r>
        <w:instrText xml:space="preserve"> PAGEREF _Toc97282595 \h </w:instrText>
      </w:r>
      <w:r>
        <w:fldChar w:fldCharType="separate"/>
      </w:r>
      <w:r>
        <w:t>12</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"_Toc97282596" </w:instrText>
      </w:r>
      <w:r>
        <w:fldChar w:fldCharType="separate"/>
      </w:r>
      <w:r>
        <w:rPr>
          <w:rStyle w:val="32"/>
          <w:rFonts w:hint="eastAsia"/>
        </w:rPr>
        <w:t>国内工业三聚磷酸钠区域价格周汇总</w:t>
      </w:r>
      <w:r>
        <w:tab/>
      </w:r>
      <w:r>
        <w:fldChar w:fldCharType="begin"/>
      </w:r>
      <w:r>
        <w:instrText xml:space="preserve"> PAGEREF _Toc97282596 \h </w:instrText>
      </w:r>
      <w:r>
        <w:fldChar w:fldCharType="separate"/>
      </w:r>
      <w:r>
        <w:t>13</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"_Toc97282597" </w:instrText>
      </w:r>
      <w:r>
        <w:fldChar w:fldCharType="separate"/>
      </w:r>
      <w:r>
        <w:rPr>
          <w:rStyle w:val="32"/>
          <w:rFonts w:hint="eastAsia"/>
        </w:rPr>
        <w:t>六偏磷酸钠</w:t>
      </w:r>
      <w:r>
        <w:tab/>
      </w:r>
      <w:r>
        <w:fldChar w:fldCharType="begin"/>
      </w:r>
      <w:r>
        <w:instrText xml:space="preserve"> PAGEREF _Toc97282597 \h </w:instrText>
      </w:r>
      <w:r>
        <w:fldChar w:fldCharType="separate"/>
      </w:r>
      <w:r>
        <w:t>13</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"_Toc97282598" </w:instrText>
      </w:r>
      <w:r>
        <w:fldChar w:fldCharType="separate"/>
      </w:r>
      <w:r>
        <w:rPr>
          <w:rStyle w:val="32"/>
          <w:rFonts w:hint="eastAsia"/>
        </w:rPr>
        <w:t>六偏磷酸钠价格指数</w:t>
      </w:r>
      <w:r>
        <w:tab/>
      </w:r>
      <w:r>
        <w:fldChar w:fldCharType="begin"/>
      </w:r>
      <w:r>
        <w:instrText xml:space="preserve"> PAGEREF _Toc97282598 \h </w:instrText>
      </w:r>
      <w:r>
        <w:fldChar w:fldCharType="separate"/>
      </w:r>
      <w:r>
        <w:t>14</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"_Toc97282599" </w:instrText>
      </w:r>
      <w:r>
        <w:fldChar w:fldCharType="separate"/>
      </w:r>
      <w:r>
        <w:rPr>
          <w:rStyle w:val="32"/>
          <w:rFonts w:hint="eastAsia"/>
        </w:rPr>
        <w:t>部分企业六偏磷酸钠出厂价格周汇总</w:t>
      </w:r>
      <w:r>
        <w:tab/>
      </w:r>
      <w:r>
        <w:fldChar w:fldCharType="begin"/>
      </w:r>
      <w:r>
        <w:instrText xml:space="preserve"> PAGEREF _Toc97282599 \h </w:instrText>
      </w:r>
      <w:r>
        <w:fldChar w:fldCharType="separate"/>
      </w:r>
      <w:r>
        <w:t>15</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"_Toc97282600" </w:instrText>
      </w:r>
      <w:r>
        <w:fldChar w:fldCharType="separate"/>
      </w:r>
      <w:r>
        <w:rPr>
          <w:rStyle w:val="32"/>
          <w:rFonts w:hint="eastAsia"/>
        </w:rPr>
        <w:t>国内工业六偏磷酸钠区域价格周汇总</w:t>
      </w:r>
      <w:r>
        <w:tab/>
      </w:r>
      <w:r>
        <w:fldChar w:fldCharType="begin"/>
      </w:r>
      <w:r>
        <w:instrText xml:space="preserve"> PAGEREF _Toc97282600 \h </w:instrText>
      </w:r>
      <w:r>
        <w:fldChar w:fldCharType="separate"/>
      </w:r>
      <w:r>
        <w:t>15</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"_Toc97282601" </w:instrText>
      </w:r>
      <w:r>
        <w:fldChar w:fldCharType="separate"/>
      </w:r>
      <w:r>
        <w:rPr>
          <w:rStyle w:val="32"/>
          <w:rFonts w:hint="eastAsia"/>
        </w:rPr>
        <w:t>氢钙</w:t>
      </w:r>
      <w:r>
        <w:tab/>
      </w:r>
      <w:r>
        <w:fldChar w:fldCharType="begin"/>
      </w:r>
      <w:r>
        <w:instrText xml:space="preserve"> PAGEREF _Toc97282601 \h </w:instrText>
      </w:r>
      <w:r>
        <w:fldChar w:fldCharType="separate"/>
      </w:r>
      <w:r>
        <w:t>16</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"_Toc97282602" </w:instrText>
      </w:r>
      <w:r>
        <w:fldChar w:fldCharType="separate"/>
      </w:r>
      <w:r>
        <w:rPr>
          <w:rStyle w:val="32"/>
          <w:rFonts w:hint="eastAsia"/>
        </w:rPr>
        <w:t>中国磷酸氢钙市场一周评述及后市预测</w:t>
      </w:r>
      <w:r>
        <w:tab/>
      </w:r>
      <w:r>
        <w:fldChar w:fldCharType="begin"/>
      </w:r>
      <w:r>
        <w:instrText xml:space="preserve"> PAGEREF _Toc97282602 \h </w:instrText>
      </w:r>
      <w:r>
        <w:fldChar w:fldCharType="separate"/>
      </w:r>
      <w:r>
        <w:t>16</w:t>
      </w:r>
      <w:r>
        <w:fldChar w:fldCharType="end"/>
      </w:r>
      <w:r>
        <w:fldChar w:fldCharType="end"/>
      </w:r>
    </w:p>
    <w:p>
      <w:pPr>
        <w:pStyle w:val="21"/>
        <w:rPr>
          <w:rFonts w:asciiTheme="minorHAnsi" w:hAnsiTheme="minorHAnsi" w:eastAsiaTheme="minorEastAsia" w:cstheme="minorBidi"/>
          <w:b w:val="0"/>
          <w:smallCaps w:val="0"/>
          <w:color w:val="auto"/>
          <w:sz w:val="21"/>
          <w:szCs w:val="22"/>
        </w:rPr>
      </w:pPr>
      <w:r>
        <w:fldChar w:fldCharType="begin"/>
      </w:r>
      <w:r>
        <w:instrText xml:space="preserve"> HYPERLINK \l "_Toc97282603" </w:instrText>
      </w:r>
      <w:r>
        <w:fldChar w:fldCharType="separate"/>
      </w:r>
      <w:r>
        <w:rPr>
          <w:rStyle w:val="32"/>
          <w:rFonts w:hint="eastAsia"/>
        </w:rPr>
        <w:t>本周部分企业氢钙出厂报价周汇总</w:t>
      </w:r>
      <w:r>
        <w:tab/>
      </w:r>
      <w:r>
        <w:fldChar w:fldCharType="begin"/>
      </w:r>
      <w:r>
        <w:instrText xml:space="preserve"> PAGEREF _Toc97282603 \h </w:instrText>
      </w:r>
      <w:r>
        <w:fldChar w:fldCharType="separate"/>
      </w:r>
      <w:r>
        <w:t>17</w:t>
      </w:r>
      <w:r>
        <w:fldChar w:fldCharType="end"/>
      </w:r>
      <w:r>
        <w:fldChar w:fldCharType="end"/>
      </w:r>
    </w:p>
    <w:p>
      <w:pPr>
        <w:pStyle w:val="17"/>
        <w:rPr>
          <w:rFonts w:asciiTheme="minorHAnsi" w:hAnsiTheme="minorHAnsi" w:eastAsiaTheme="minorEastAsia" w:cstheme="minorBidi"/>
          <w:b w:val="0"/>
          <w:bCs w:val="0"/>
          <w:caps w:val="0"/>
          <w:color w:val="auto"/>
          <w:sz w:val="21"/>
          <w:szCs w:val="22"/>
        </w:rPr>
      </w:pPr>
      <w:r>
        <w:fldChar w:fldCharType="begin"/>
      </w:r>
      <w:r>
        <w:instrText xml:space="preserve"> HYPERLINK \l "_Toc97282604" </w:instrText>
      </w:r>
      <w:r>
        <w:fldChar w:fldCharType="separate"/>
      </w:r>
      <w:r>
        <w:rPr>
          <w:rStyle w:val="32"/>
          <w:rFonts w:hint="eastAsia" w:ascii="Cambria" w:hAnsi="Cambria"/>
        </w:rPr>
        <w:t>声明</w:t>
      </w:r>
      <w:r>
        <w:tab/>
      </w:r>
      <w:r>
        <w:fldChar w:fldCharType="begin"/>
      </w:r>
      <w:r>
        <w:instrText xml:space="preserve"> PAGEREF _Toc97282604 \h </w:instrText>
      </w:r>
      <w:r>
        <w:fldChar w:fldCharType="separate"/>
      </w:r>
      <w:r>
        <w:t>18</w:t>
      </w:r>
      <w:r>
        <w:fldChar w:fldCharType="end"/>
      </w:r>
      <w:r>
        <w:fldChar w:fldCharType="end"/>
      </w:r>
    </w:p>
    <w:p>
      <w:pPr>
        <w:pStyle w:val="21"/>
        <w:jc w:val="center"/>
        <w:rPr>
          <w:sz w:val="28"/>
          <w:szCs w:val="28"/>
        </w:rPr>
      </w:pPr>
      <w:r>
        <w:rPr>
          <w:sz w:val="28"/>
          <w:szCs w:val="28"/>
        </w:rPr>
        <w:fldChar w:fldCharType="end"/>
      </w:r>
      <w:bookmarkStart w:id="0" w:name="_Toc485375018"/>
      <w:bookmarkStart w:id="1" w:name="_Toc185611012"/>
      <w:bookmarkStart w:id="2" w:name="_Toc509578801"/>
      <w:bookmarkStart w:id="3" w:name="_Toc509578102"/>
      <w:bookmarkStart w:id="4" w:name="_Toc211422050"/>
      <w:bookmarkStart w:id="5" w:name="_Toc485373619"/>
    </w:p>
    <w:p>
      <w:pPr>
        <w:pStyle w:val="21"/>
        <w:jc w:val="center"/>
        <w:rPr>
          <w:sz w:val="28"/>
          <w:szCs w:val="28"/>
        </w:rPr>
      </w:pPr>
    </w:p>
    <w:p>
      <w:pPr>
        <w:pStyle w:val="21"/>
        <w:jc w:val="center"/>
        <w:rPr>
          <w:sz w:val="28"/>
          <w:szCs w:val="28"/>
        </w:rPr>
      </w:pPr>
    </w:p>
    <w:p>
      <w:pPr>
        <w:pStyle w:val="21"/>
        <w:jc w:val="center"/>
      </w:pPr>
      <w:r>
        <w:t>磷矿石</w:t>
      </w:r>
      <w:bookmarkEnd w:id="0"/>
      <w:bookmarkEnd w:id="1"/>
      <w:bookmarkEnd w:id="2"/>
      <w:bookmarkEnd w:id="3"/>
      <w:bookmarkEnd w:id="4"/>
    </w:p>
    <w:p/>
    <w:p>
      <w:pPr>
        <w:jc w:val="left"/>
        <w:outlineLvl w:val="0"/>
        <w:rPr>
          <w:rFonts w:ascii="宋体" w:hAnsi="宋体" w:cs="Arial"/>
          <w:b/>
          <w:bCs/>
          <w:kern w:val="0"/>
          <w:sz w:val="36"/>
          <w:szCs w:val="36"/>
        </w:rPr>
      </w:pPr>
      <w:bookmarkStart w:id="6" w:name="_Toc183761264"/>
      <w:bookmarkStart w:id="7" w:name="_Toc185611013"/>
      <w:bookmarkStart w:id="8" w:name="_Toc211422051"/>
      <w:bookmarkStart w:id="9" w:name="_Toc485375019"/>
      <w:bookmarkStart w:id="10" w:name="_Toc509578103"/>
      <w:bookmarkStart w:id="11" w:name="_Toc509578802"/>
      <w:bookmarkStart w:id="12" w:name="_Toc97282575"/>
      <w:bookmarkStart w:id="13" w:name="_Toc245273848"/>
      <w:bookmarkStart w:id="14" w:name="_Toc211422057"/>
      <w:bookmarkStart w:id="15" w:name="_Toc185611017"/>
      <w:r>
        <w:rPr>
          <w:rFonts w:hint="eastAsia" w:ascii="宋体" w:hAnsi="宋体" w:cs="Arial"/>
          <w:b/>
          <w:bCs/>
          <w:kern w:val="0"/>
          <w:sz w:val="36"/>
          <w:szCs w:val="36"/>
        </w:rPr>
        <w:t>评述：中国磷矿石市场一周评述及后市预测</w:t>
      </w:r>
      <w:bookmarkEnd w:id="6"/>
      <w:bookmarkEnd w:id="7"/>
      <w:bookmarkEnd w:id="8"/>
      <w:bookmarkEnd w:id="9"/>
      <w:bookmarkEnd w:id="10"/>
      <w:bookmarkEnd w:id="11"/>
      <w:bookmarkEnd w:id="12"/>
    </w:p>
    <w:p>
      <w:pPr>
        <w:jc w:val="left"/>
        <w:outlineLvl w:val="0"/>
        <w:rPr>
          <w:rFonts w:ascii="宋体" w:hAnsi="宋体" w:cs="Arial"/>
          <w:b/>
          <w:bCs/>
          <w:kern w:val="0"/>
          <w:sz w:val="36"/>
          <w:szCs w:val="36"/>
        </w:rPr>
      </w:pPr>
    </w:p>
    <w:p>
      <w:pPr>
        <w:pStyle w:val="24"/>
        <w:ind w:firstLine="360" w:firstLineChars="200"/>
        <w:rPr>
          <w:sz w:val="18"/>
          <w:szCs w:val="18"/>
        </w:rPr>
      </w:pPr>
      <w:bookmarkStart w:id="16" w:name="_Toc485375022"/>
      <w:bookmarkStart w:id="17" w:name="_Toc283392384"/>
      <w:bookmarkStart w:id="18" w:name="_Toc263431656"/>
      <w:bookmarkStart w:id="19" w:name="_Toc509578106"/>
      <w:bookmarkStart w:id="20" w:name="_Toc283385842"/>
      <w:bookmarkStart w:id="21" w:name="_Toc509578805"/>
      <w:bookmarkStart w:id="22" w:name="_Toc268270369"/>
      <w:bookmarkStart w:id="23" w:name="_Toc218487527"/>
      <w:bookmarkStart w:id="24" w:name="_Toc286931942"/>
      <w:bookmarkStart w:id="25" w:name="_Toc211422055"/>
      <w:r>
        <w:rPr>
          <w:sz w:val="18"/>
          <w:szCs w:val="18"/>
        </w:rPr>
        <w:t>本周国内磷矿石市场行情上行，近期磷矿市场因安全检查导致多地供应不稳，现货紧张，库存低位。目前贵州部分矿企订但充足，外发量有限;湖北宜昌矿企停产中，整体市场供应有限，目前虽未有正式合同表明涨价，但下游企业低镁矿石已基本默认调涨 50 元/吨。现湖北峡口 28%船板报价 650元/吨，29%船板报价 670 元/吨，宜昌 28%船板报价 680 元/吨，29%船板报价 700 元/吨;贵州开阳 30%坑口价 650 元/吨;四川 25%原矿马边县城交货价 380 元/吨，30 的磷精矿马边县城交货价650 元/吨， 乐山 32%坑口价 730 元/吨。</w:t>
      </w:r>
    </w:p>
    <w:p>
      <w:pPr>
        <w:pStyle w:val="24"/>
        <w:ind w:firstLine="360" w:firstLineChars="200"/>
        <w:rPr>
          <w:sz w:val="18"/>
          <w:szCs w:val="18"/>
        </w:rPr>
      </w:pPr>
      <w:r>
        <w:rPr>
          <w:sz w:val="18"/>
          <w:szCs w:val="18"/>
        </w:rPr>
        <w:t>后市预测：本周磷矿石市场调涨，市场持推涨气氛。供应来看，供应不稳导致供应紧张。需求来看，下游市场需求回升，支撑力度较强。现阶段磷矿石市场窄幅调整过后，预计短期内稳中偏强运行，市场发运订单为主。长期来看仍需关注市场供应变化，下游市场需求以及市场氛围等影响。</w:t>
      </w:r>
    </w:p>
    <w:p>
      <w:pPr>
        <w:pStyle w:val="24"/>
        <w:ind w:firstLine="360" w:firstLineChars="200"/>
        <w:rPr>
          <w:sz w:val="18"/>
          <w:szCs w:val="18"/>
        </w:rPr>
      </w:pPr>
    </w:p>
    <w:p>
      <w:pPr>
        <w:jc w:val="left"/>
        <w:outlineLvl w:val="0"/>
        <w:rPr>
          <w:rFonts w:ascii="宋体" w:hAnsi="宋体" w:cs="Arial"/>
          <w:b/>
          <w:bCs/>
          <w:kern w:val="0"/>
          <w:sz w:val="36"/>
          <w:szCs w:val="36"/>
        </w:rPr>
      </w:pPr>
      <w:bookmarkStart w:id="26" w:name="_Toc86389223"/>
      <w:bookmarkStart w:id="27" w:name="_Toc97282576"/>
      <w:r>
        <w:rPr>
          <w:rFonts w:hint="eastAsia" w:ascii="宋体" w:hAnsi="宋体" w:cs="Arial"/>
          <w:b/>
          <w:bCs/>
          <w:kern w:val="0"/>
          <w:sz w:val="36"/>
          <w:szCs w:val="36"/>
        </w:rPr>
        <w:t>国际：2022年3月</w:t>
      </w:r>
      <w:r>
        <w:rPr>
          <w:rFonts w:hint="eastAsia" w:ascii="宋体" w:hAnsi="宋体" w:cs="Arial"/>
          <w:b/>
          <w:bCs/>
          <w:kern w:val="0"/>
          <w:sz w:val="36"/>
          <w:szCs w:val="36"/>
          <w:lang w:val="en-US" w:eastAsia="zh-CN"/>
        </w:rPr>
        <w:t>31</w:t>
      </w:r>
      <w:r>
        <w:rPr>
          <w:rFonts w:hint="eastAsia" w:ascii="宋体" w:hAnsi="宋体" w:cs="Arial"/>
          <w:b/>
          <w:bCs/>
          <w:kern w:val="0"/>
          <w:sz w:val="36"/>
          <w:szCs w:val="36"/>
        </w:rPr>
        <w:t>日磷矿石国际行情</w:t>
      </w:r>
      <w:bookmarkEnd w:id="26"/>
      <w:bookmarkEnd w:id="27"/>
    </w:p>
    <w:p>
      <w:pPr>
        <w:jc w:val="left"/>
        <w:outlineLvl w:val="0"/>
        <w:rPr>
          <w:rFonts w:ascii="宋体" w:hAnsi="宋体" w:cs="Arial"/>
          <w:b/>
          <w:bCs/>
          <w:kern w:val="0"/>
          <w:sz w:val="36"/>
          <w:szCs w:val="36"/>
        </w:rPr>
      </w:pPr>
    </w:p>
    <w:p>
      <w:pPr>
        <w:pStyle w:val="24"/>
        <w:ind w:firstLine="360" w:firstLineChars="200"/>
        <w:rPr>
          <w:rFonts w:hint="eastAsia" w:ascii="宋体" w:hAnsi="宋体"/>
          <w:color w:val="000000"/>
          <w:sz w:val="18"/>
          <w:szCs w:val="18"/>
        </w:rPr>
      </w:pPr>
      <w:r>
        <w:rPr>
          <w:rFonts w:ascii="宋体" w:hAnsi="宋体"/>
          <w:color w:val="000000"/>
          <w:sz w:val="18"/>
          <w:szCs w:val="18"/>
        </w:rPr>
        <w:t>本周暂无国际磷矿石动态信息。</w:t>
      </w:r>
    </w:p>
    <w:p>
      <w:pPr>
        <w:pStyle w:val="24"/>
        <w:ind w:firstLine="360" w:firstLineChars="200"/>
        <w:rPr>
          <w:rFonts w:asciiTheme="minorEastAsia" w:hAnsiTheme="minorEastAsia" w:eastAsiaTheme="minorEastAsia"/>
          <w:sz w:val="18"/>
          <w:szCs w:val="18"/>
        </w:rPr>
      </w:pPr>
    </w:p>
    <w:p>
      <w:pPr>
        <w:pStyle w:val="3"/>
        <w:rPr>
          <w:sz w:val="32"/>
        </w:rPr>
      </w:pPr>
      <w:bookmarkStart w:id="28" w:name="_Toc82778790"/>
      <w:bookmarkStart w:id="29" w:name="_Toc97282577"/>
      <w:r>
        <w:rPr>
          <w:rFonts w:hint="eastAsia"/>
          <w:sz w:val="32"/>
        </w:rPr>
        <w:t>国际：磷矿石价格指数</w:t>
      </w:r>
      <w:bookmarkEnd w:id="28"/>
      <w:bookmarkEnd w:id="29"/>
    </w:p>
    <w:p/>
    <w:p/>
    <w:tbl>
      <w:tblPr>
        <w:tblStyle w:val="26"/>
        <w:tblW w:w="6464" w:type="dxa"/>
        <w:jc w:val="center"/>
        <w:tblLayout w:type="fixed"/>
        <w:tblCellMar>
          <w:top w:w="0" w:type="dxa"/>
          <w:left w:w="108" w:type="dxa"/>
          <w:bottom w:w="0" w:type="dxa"/>
          <w:right w:w="108" w:type="dxa"/>
        </w:tblCellMar>
      </w:tblPr>
      <w:tblGrid>
        <w:gridCol w:w="6464"/>
      </w:tblGrid>
      <w:tr>
        <w:tblPrEx>
          <w:tblCellMar>
            <w:top w:w="0" w:type="dxa"/>
            <w:left w:w="108" w:type="dxa"/>
            <w:bottom w:w="0" w:type="dxa"/>
            <w:right w:w="108" w:type="dxa"/>
          </w:tblCellMar>
        </w:tblPrEx>
        <w:trPr>
          <w:trHeight w:val="233" w:hRule="atLeast"/>
          <w:jc w:val="center"/>
        </w:trPr>
        <w:tc>
          <w:tcPr>
            <w:tcW w:w="6464" w:type="dxa"/>
            <w:vMerge w:val="restart"/>
            <w:tcBorders>
              <w:top w:val="single" w:color="auto" w:sz="4" w:space="0"/>
              <w:left w:val="single" w:color="auto" w:sz="4" w:space="0"/>
              <w:bottom w:val="single" w:color="000000" w:sz="4" w:space="0"/>
              <w:right w:val="single" w:color="000000" w:sz="4" w:space="0"/>
            </w:tcBorders>
            <w:shd w:val="clear" w:color="auto" w:fill="FF0000"/>
            <w:vAlign w:val="center"/>
          </w:tcPr>
          <w:p>
            <w:pPr>
              <w:jc w:val="center"/>
              <w:rPr>
                <w:rFonts w:ascii="宋体" w:hAnsi="宋体" w:eastAsia="宋体"/>
                <w:b/>
                <w:bCs/>
                <w:color w:val="FFFFFF"/>
                <w:sz w:val="18"/>
                <w:szCs w:val="18"/>
              </w:rPr>
            </w:pPr>
            <w:r>
              <w:rPr>
                <w:rFonts w:hint="eastAsia" w:ascii="宋体" w:hAnsi="宋体" w:eastAsia="宋体"/>
                <w:b/>
                <w:bCs/>
                <w:color w:val="FFFFFF"/>
                <w:sz w:val="18"/>
                <w:szCs w:val="18"/>
              </w:rPr>
              <w:t>磷矿石国际市场价格</w:t>
            </w:r>
          </w:p>
        </w:tc>
      </w:tr>
      <w:tr>
        <w:tblPrEx>
          <w:tblCellMar>
            <w:top w:w="0" w:type="dxa"/>
            <w:left w:w="108" w:type="dxa"/>
            <w:bottom w:w="0" w:type="dxa"/>
            <w:right w:w="108" w:type="dxa"/>
          </w:tblCellMar>
        </w:tblPrEx>
        <w:trPr>
          <w:trHeight w:val="244" w:hRule="atLeast"/>
          <w:jc w:val="center"/>
        </w:trPr>
        <w:tc>
          <w:tcPr>
            <w:tcW w:w="6464" w:type="dxa"/>
            <w:vMerge w:val="continue"/>
            <w:tcBorders>
              <w:top w:val="single" w:color="auto" w:sz="4" w:space="0"/>
              <w:left w:val="single" w:color="auto" w:sz="4" w:space="0"/>
              <w:bottom w:val="single" w:color="000000" w:sz="4" w:space="0"/>
              <w:right w:val="single" w:color="000000" w:sz="4" w:space="0"/>
            </w:tcBorders>
            <w:vAlign w:val="center"/>
          </w:tcPr>
          <w:p>
            <w:pPr>
              <w:rPr>
                <w:b/>
                <w:bCs/>
                <w:color w:val="FFFFFF"/>
                <w:sz w:val="20"/>
                <w:szCs w:val="20"/>
              </w:rPr>
            </w:pPr>
          </w:p>
        </w:tc>
      </w:tr>
    </w:tbl>
    <w:p>
      <w:pPr>
        <w:jc w:val="center"/>
      </w:pPr>
      <w:r>
        <w:rPr>
          <w:bdr w:val="single" w:sz="4" w:space="0"/>
        </w:rPr>
        <w:drawing>
          <wp:inline distT="0" distB="0" distL="114300" distR="114300">
            <wp:extent cx="4095750" cy="2714625"/>
            <wp:effectExtent l="0" t="0" r="0" b="9525"/>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7"/>
                    <a:stretch>
                      <a:fillRect/>
                    </a:stretch>
                  </pic:blipFill>
                  <pic:spPr>
                    <a:xfrm>
                      <a:off x="0" y="0"/>
                      <a:ext cx="4095750" cy="2714625"/>
                    </a:xfrm>
                    <a:prstGeom prst="rect">
                      <a:avLst/>
                    </a:prstGeom>
                    <a:noFill/>
                    <a:ln>
                      <a:noFill/>
                    </a:ln>
                  </pic:spPr>
                </pic:pic>
              </a:graphicData>
            </a:graphic>
          </wp:inline>
        </w:drawing>
      </w:r>
    </w:p>
    <w:p>
      <w:pPr>
        <w:pStyle w:val="3"/>
        <w:rPr>
          <w:sz w:val="32"/>
        </w:rPr>
      </w:pPr>
      <w:bookmarkStart w:id="30" w:name="_Toc485375021"/>
      <w:bookmarkStart w:id="31" w:name="_Toc509578105"/>
      <w:bookmarkStart w:id="32" w:name="_Toc509578804"/>
      <w:bookmarkStart w:id="33" w:name="_Toc82778791"/>
      <w:bookmarkStart w:id="34" w:name="_Toc97282578"/>
      <w:r>
        <w:rPr>
          <w:rFonts w:hint="eastAsia"/>
          <w:sz w:val="32"/>
        </w:rPr>
        <w:t>国际磷矿石参考价格</w:t>
      </w:r>
      <w:bookmarkEnd w:id="30"/>
      <w:bookmarkEnd w:id="31"/>
      <w:bookmarkEnd w:id="32"/>
      <w:bookmarkEnd w:id="33"/>
      <w:bookmarkEnd w:id="34"/>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69"/>
        <w:gridCol w:w="2994"/>
        <w:gridCol w:w="3349"/>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3" w:type="pct"/>
            <w:vMerge w:val="restart"/>
            <w:shd w:val="clear" w:color="auto" w:fill="99CCFF"/>
            <w:vAlign w:val="center"/>
          </w:tcPr>
          <w:p>
            <w:pPr>
              <w:jc w:val="center"/>
              <w:rPr>
                <w:rFonts w:ascii="宋体" w:hAnsi="宋体"/>
                <w:b/>
                <w:bCs/>
                <w:color w:val="000000"/>
                <w:sz w:val="18"/>
                <w:szCs w:val="18"/>
              </w:rPr>
            </w:pPr>
            <w:r>
              <w:rPr>
                <w:rFonts w:ascii="宋体" w:hAnsi="宋体"/>
                <w:b/>
                <w:bCs/>
                <w:color w:val="000000"/>
                <w:sz w:val="18"/>
                <w:szCs w:val="18"/>
              </w:rPr>
              <w:t>产品</w:t>
            </w:r>
          </w:p>
        </w:tc>
        <w:tc>
          <w:tcPr>
            <w:tcW w:w="1351" w:type="pct"/>
            <w:vMerge w:val="restart"/>
            <w:shd w:val="clear" w:color="auto" w:fill="99CCFF"/>
            <w:vAlign w:val="center"/>
          </w:tcPr>
          <w:p>
            <w:pPr>
              <w:wordWrap w:val="0"/>
              <w:jc w:val="center"/>
              <w:rPr>
                <w:rFonts w:ascii="宋体" w:hAnsi="宋体"/>
                <w:b/>
                <w:bCs/>
                <w:color w:val="000000"/>
                <w:sz w:val="18"/>
                <w:szCs w:val="18"/>
              </w:rPr>
            </w:pPr>
            <w:r>
              <w:rPr>
                <w:rFonts w:ascii="宋体" w:hAnsi="宋体"/>
                <w:b/>
                <w:bCs/>
                <w:color w:val="000000"/>
                <w:sz w:val="18"/>
                <w:szCs w:val="18"/>
              </w:rPr>
              <w:t>区域</w:t>
            </w:r>
          </w:p>
        </w:tc>
        <w:tc>
          <w:tcPr>
            <w:tcW w:w="2985" w:type="pct"/>
            <w:gridSpan w:val="2"/>
            <w:shd w:val="clear" w:color="auto" w:fill="99CCFF"/>
            <w:vAlign w:val="center"/>
          </w:tcPr>
          <w:p>
            <w:pPr>
              <w:wordWrap w:val="0"/>
              <w:ind w:firstLine="2264" w:firstLineChars="1253"/>
              <w:rPr>
                <w:rFonts w:ascii="宋体" w:hAnsi="宋体"/>
                <w:b/>
                <w:bCs/>
                <w:color w:val="000000"/>
                <w:sz w:val="18"/>
                <w:szCs w:val="18"/>
              </w:rPr>
            </w:pPr>
            <w:r>
              <w:rPr>
                <w:rFonts w:ascii="宋体" w:hAnsi="宋体"/>
                <w:b/>
                <w:bCs/>
                <w:color w:val="000000"/>
                <w:sz w:val="18"/>
                <w:szCs w:val="18"/>
              </w:rPr>
              <w:t>价格(美元/吨)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3" w:type="pct"/>
            <w:vMerge w:val="continue"/>
            <w:vAlign w:val="center"/>
          </w:tcPr>
          <w:p>
            <w:pPr>
              <w:jc w:val="center"/>
              <w:rPr>
                <w:rFonts w:ascii="宋体" w:hAnsi="宋体"/>
                <w:b/>
                <w:bCs/>
                <w:color w:val="000000"/>
                <w:sz w:val="18"/>
                <w:szCs w:val="18"/>
              </w:rPr>
            </w:pPr>
          </w:p>
        </w:tc>
        <w:tc>
          <w:tcPr>
            <w:tcW w:w="1351" w:type="pct"/>
            <w:vMerge w:val="continue"/>
            <w:vAlign w:val="center"/>
          </w:tcPr>
          <w:p>
            <w:pPr>
              <w:jc w:val="center"/>
              <w:rPr>
                <w:rFonts w:ascii="宋体" w:hAnsi="宋体"/>
                <w:b/>
                <w:bCs/>
                <w:color w:val="000000"/>
                <w:sz w:val="18"/>
                <w:szCs w:val="18"/>
              </w:rPr>
            </w:pPr>
          </w:p>
        </w:tc>
        <w:tc>
          <w:tcPr>
            <w:tcW w:w="2985" w:type="pct"/>
            <w:gridSpan w:val="2"/>
            <w:shd w:val="clear" w:color="auto" w:fill="99CCFF"/>
            <w:vAlign w:val="center"/>
          </w:tcPr>
          <w:p>
            <w:pPr>
              <w:ind w:firstLine="2009" w:firstLineChars="1112"/>
              <w:rPr>
                <w:rFonts w:ascii="宋体" w:hAnsi="宋体"/>
                <w:b/>
                <w:bCs/>
                <w:color w:val="000000"/>
                <w:sz w:val="18"/>
                <w:szCs w:val="18"/>
              </w:rPr>
            </w:pPr>
            <w:r>
              <w:rPr>
                <w:rFonts w:ascii="宋体" w:hAnsi="宋体"/>
                <w:b/>
                <w:bCs/>
                <w:color w:val="000000"/>
                <w:sz w:val="18"/>
                <w:szCs w:val="18"/>
              </w:rPr>
              <w:t xml:space="preserve"> 202</w:t>
            </w:r>
            <w:r>
              <w:rPr>
                <w:rFonts w:hint="eastAsia" w:ascii="宋体" w:hAnsi="宋体"/>
                <w:b/>
                <w:bCs/>
                <w:color w:val="000000"/>
                <w:sz w:val="18"/>
                <w:szCs w:val="18"/>
              </w:rPr>
              <w:t>2</w:t>
            </w:r>
            <w:r>
              <w:rPr>
                <w:rFonts w:ascii="宋体" w:hAnsi="宋体"/>
                <w:b/>
                <w:bCs/>
                <w:color w:val="000000"/>
                <w:sz w:val="18"/>
                <w:szCs w:val="18"/>
              </w:rPr>
              <w:t>年</w:t>
            </w:r>
            <w:r>
              <w:rPr>
                <w:rFonts w:hint="eastAsia" w:ascii="宋体" w:hAnsi="宋体"/>
                <w:b/>
                <w:bCs/>
                <w:color w:val="000000"/>
                <w:sz w:val="18"/>
                <w:szCs w:val="18"/>
              </w:rPr>
              <w:t>3</w:t>
            </w:r>
            <w:r>
              <w:rPr>
                <w:rFonts w:ascii="宋体" w:hAnsi="宋体"/>
                <w:b/>
                <w:bCs/>
                <w:color w:val="000000"/>
                <w:sz w:val="18"/>
                <w:szCs w:val="18"/>
              </w:rPr>
              <w:t>月</w:t>
            </w:r>
            <w:r>
              <w:rPr>
                <w:rFonts w:hint="eastAsia" w:ascii="宋体" w:hAnsi="宋体"/>
                <w:b/>
                <w:bCs/>
                <w:color w:val="000000"/>
                <w:sz w:val="18"/>
                <w:szCs w:val="18"/>
                <w:lang w:val="en-US" w:eastAsia="zh-CN"/>
              </w:rPr>
              <w:t>31</w:t>
            </w:r>
            <w:r>
              <w:rPr>
                <w:rFonts w:ascii="宋体" w:hAnsi="宋体"/>
                <w:b/>
                <w:bCs/>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63" w:type="pct"/>
            <w:vMerge w:val="restart"/>
            <w:shd w:val="clear" w:color="auto" w:fill="auto"/>
            <w:vAlign w:val="center"/>
          </w:tcPr>
          <w:p>
            <w:pPr>
              <w:widowControl/>
              <w:spacing w:line="288" w:lineRule="auto"/>
              <w:jc w:val="center"/>
              <w:rPr>
                <w:rFonts w:ascii="Arial" w:hAnsi="Arial" w:eastAsia="宋体" w:cs="Arial"/>
                <w:kern w:val="0"/>
                <w:sz w:val="18"/>
                <w:szCs w:val="18"/>
              </w:rPr>
            </w:pPr>
            <w:r>
              <w:rPr>
                <w:rFonts w:ascii="宋体" w:hAnsi="宋体" w:eastAsia="宋体" w:cs="Arial"/>
                <w:kern w:val="0"/>
                <w:sz w:val="18"/>
                <w:szCs w:val="18"/>
              </w:rPr>
              <w:t>磷矿石</w:t>
            </w:r>
          </w:p>
        </w:tc>
        <w:tc>
          <w:tcPr>
            <w:tcW w:w="1351" w:type="pct"/>
            <w:shd w:val="clear" w:color="auto" w:fill="auto"/>
            <w:vAlign w:val="center"/>
          </w:tcPr>
          <w:p>
            <w:pPr>
              <w:widowControl/>
              <w:wordWrap w:val="0"/>
              <w:spacing w:line="288" w:lineRule="auto"/>
              <w:jc w:val="center"/>
              <w:rPr>
                <w:rFonts w:ascii="Arial" w:hAnsi="Arial" w:eastAsia="宋体" w:cs="Arial"/>
                <w:kern w:val="0"/>
                <w:sz w:val="18"/>
                <w:szCs w:val="18"/>
              </w:rPr>
            </w:pPr>
            <w:r>
              <w:rPr>
                <w:rFonts w:ascii="宋体" w:hAnsi="宋体" w:eastAsia="宋体" w:cs="Arial"/>
                <w:kern w:val="0"/>
                <w:sz w:val="18"/>
                <w:szCs w:val="18"/>
              </w:rPr>
              <w:t>FOB约旦（68-70%）</w:t>
            </w:r>
          </w:p>
        </w:tc>
        <w:tc>
          <w:tcPr>
            <w:tcW w:w="1511" w:type="pct"/>
            <w:shd w:val="clear" w:color="auto" w:fill="auto"/>
            <w:vAlign w:val="center"/>
          </w:tcPr>
          <w:p>
            <w:pPr>
              <w:widowControl/>
              <w:wordWrap w:val="0"/>
              <w:spacing w:line="288" w:lineRule="auto"/>
              <w:jc w:val="center"/>
              <w:rPr>
                <w:rFonts w:ascii="宋体" w:hAnsi="宋体" w:eastAsia="宋体" w:cs="Arial"/>
                <w:kern w:val="0"/>
                <w:sz w:val="18"/>
                <w:szCs w:val="18"/>
              </w:rPr>
            </w:pPr>
            <w:r>
              <w:rPr>
                <w:rFonts w:ascii="宋体" w:hAnsi="宋体" w:eastAsia="宋体" w:cs="Arial"/>
                <w:kern w:val="0"/>
                <w:sz w:val="18"/>
                <w:szCs w:val="18"/>
              </w:rPr>
              <w:t>152-164 (2021第</w:t>
            </w:r>
            <w:r>
              <w:rPr>
                <w:rFonts w:hint="eastAsia" w:ascii="宋体" w:hAnsi="宋体" w:eastAsia="宋体" w:cs="Arial"/>
                <w:kern w:val="0"/>
                <w:sz w:val="18"/>
                <w:szCs w:val="18"/>
              </w:rPr>
              <w:t>四</w:t>
            </w:r>
            <w:r>
              <w:rPr>
                <w:rFonts w:ascii="宋体" w:hAnsi="宋体" w:eastAsia="宋体" w:cs="Arial"/>
                <w:kern w:val="0"/>
                <w:sz w:val="18"/>
                <w:szCs w:val="18"/>
              </w:rPr>
              <w:t>季度）</w:t>
            </w:r>
          </w:p>
        </w:tc>
        <w:tc>
          <w:tcPr>
            <w:tcW w:w="1474" w:type="pct"/>
            <w:shd w:val="clear" w:color="auto" w:fill="auto"/>
            <w:vAlign w:val="center"/>
          </w:tcPr>
          <w:p>
            <w:pPr>
              <w:widowControl/>
              <w:wordWrap w:val="0"/>
              <w:spacing w:line="288" w:lineRule="auto"/>
              <w:jc w:val="center"/>
              <w:rPr>
                <w:rFonts w:ascii="宋体" w:hAnsi="宋体" w:eastAsia="宋体" w:cs="Arial"/>
                <w:kern w:val="0"/>
                <w:sz w:val="18"/>
                <w:szCs w:val="18"/>
              </w:rPr>
            </w:pPr>
            <w:r>
              <w:rPr>
                <w:rFonts w:ascii="宋体" w:hAnsi="宋体" w:eastAsia="宋体" w:cs="Arial"/>
                <w:kern w:val="0"/>
                <w:sz w:val="18"/>
                <w:szCs w:val="18"/>
              </w:rPr>
              <w:t>128-140 (2021第</w:t>
            </w:r>
            <w:r>
              <w:rPr>
                <w:rFonts w:hint="eastAsia" w:ascii="宋体" w:hAnsi="宋体" w:eastAsia="宋体" w:cs="Arial"/>
                <w:kern w:val="0"/>
                <w:sz w:val="18"/>
                <w:szCs w:val="18"/>
              </w:rPr>
              <w:t>三</w:t>
            </w:r>
            <w:r>
              <w:rPr>
                <w:rFonts w:ascii="宋体" w:hAnsi="宋体" w:eastAsia="宋体" w:cs="Arial"/>
                <w:kern w:val="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63" w:type="pct"/>
            <w:vMerge w:val="continue"/>
            <w:vAlign w:val="center"/>
          </w:tcPr>
          <w:p>
            <w:pPr>
              <w:widowControl/>
              <w:jc w:val="left"/>
              <w:rPr>
                <w:rFonts w:ascii="Arial" w:hAnsi="Arial" w:eastAsia="宋体" w:cs="Arial"/>
                <w:kern w:val="0"/>
                <w:sz w:val="18"/>
                <w:szCs w:val="18"/>
              </w:rPr>
            </w:pPr>
          </w:p>
        </w:tc>
        <w:tc>
          <w:tcPr>
            <w:tcW w:w="1351" w:type="pct"/>
            <w:shd w:val="clear" w:color="auto" w:fill="auto"/>
            <w:vAlign w:val="center"/>
          </w:tcPr>
          <w:p>
            <w:pPr>
              <w:widowControl/>
              <w:wordWrap w:val="0"/>
              <w:spacing w:line="288" w:lineRule="auto"/>
              <w:jc w:val="center"/>
              <w:rPr>
                <w:rFonts w:ascii="Arial" w:hAnsi="Arial" w:eastAsia="宋体" w:cs="Arial"/>
                <w:kern w:val="0"/>
                <w:sz w:val="18"/>
                <w:szCs w:val="18"/>
              </w:rPr>
            </w:pPr>
            <w:r>
              <w:rPr>
                <w:rFonts w:ascii="宋体" w:hAnsi="宋体" w:eastAsia="宋体" w:cs="Arial"/>
                <w:kern w:val="0"/>
                <w:sz w:val="18"/>
                <w:szCs w:val="18"/>
              </w:rPr>
              <w:t>CFR印度(68-70%）</w:t>
            </w:r>
          </w:p>
        </w:tc>
        <w:tc>
          <w:tcPr>
            <w:tcW w:w="1511" w:type="pct"/>
            <w:shd w:val="clear" w:color="auto" w:fill="auto"/>
            <w:vAlign w:val="center"/>
          </w:tcPr>
          <w:p>
            <w:pPr>
              <w:widowControl/>
              <w:wordWrap w:val="0"/>
              <w:spacing w:line="288" w:lineRule="auto"/>
              <w:jc w:val="center"/>
              <w:rPr>
                <w:rFonts w:ascii="宋体" w:hAnsi="宋体" w:eastAsia="宋体" w:cs="Arial"/>
                <w:kern w:val="0"/>
                <w:sz w:val="18"/>
                <w:szCs w:val="18"/>
              </w:rPr>
            </w:pPr>
            <w:r>
              <w:rPr>
                <w:rFonts w:ascii="宋体" w:hAnsi="宋体" w:eastAsia="宋体" w:cs="Arial"/>
                <w:kern w:val="0"/>
                <w:sz w:val="18"/>
                <w:szCs w:val="18"/>
              </w:rPr>
              <w:t>182-194（2021第</w:t>
            </w:r>
            <w:r>
              <w:rPr>
                <w:rFonts w:hint="eastAsia" w:ascii="宋体" w:hAnsi="宋体" w:eastAsia="宋体" w:cs="Arial"/>
                <w:kern w:val="0"/>
                <w:sz w:val="18"/>
                <w:szCs w:val="18"/>
              </w:rPr>
              <w:t>四</w:t>
            </w:r>
            <w:r>
              <w:rPr>
                <w:rFonts w:ascii="宋体" w:hAnsi="宋体" w:eastAsia="宋体" w:cs="Arial"/>
                <w:kern w:val="0"/>
                <w:sz w:val="18"/>
                <w:szCs w:val="18"/>
              </w:rPr>
              <w:t>季度）</w:t>
            </w:r>
          </w:p>
        </w:tc>
        <w:tc>
          <w:tcPr>
            <w:tcW w:w="1474" w:type="pct"/>
            <w:shd w:val="clear" w:color="auto" w:fill="auto"/>
            <w:vAlign w:val="center"/>
          </w:tcPr>
          <w:p>
            <w:pPr>
              <w:widowControl/>
              <w:wordWrap w:val="0"/>
              <w:spacing w:line="288" w:lineRule="auto"/>
              <w:jc w:val="center"/>
              <w:rPr>
                <w:rFonts w:ascii="宋体" w:hAnsi="宋体" w:eastAsia="宋体" w:cs="Arial"/>
                <w:kern w:val="0"/>
                <w:sz w:val="18"/>
                <w:szCs w:val="18"/>
              </w:rPr>
            </w:pPr>
            <w:r>
              <w:rPr>
                <w:rFonts w:ascii="宋体" w:hAnsi="宋体" w:eastAsia="宋体" w:cs="Arial"/>
                <w:kern w:val="0"/>
                <w:sz w:val="18"/>
                <w:szCs w:val="18"/>
              </w:rPr>
              <w:t>158-170（2021第</w:t>
            </w:r>
            <w:r>
              <w:rPr>
                <w:rFonts w:hint="eastAsia" w:ascii="宋体" w:hAnsi="宋体" w:eastAsia="宋体" w:cs="Arial"/>
                <w:kern w:val="0"/>
                <w:sz w:val="18"/>
                <w:szCs w:val="18"/>
              </w:rPr>
              <w:t>三</w:t>
            </w:r>
            <w:r>
              <w:rPr>
                <w:rFonts w:ascii="宋体" w:hAnsi="宋体" w:eastAsia="宋体" w:cs="Arial"/>
                <w:kern w:val="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63" w:type="pct"/>
            <w:vMerge w:val="continue"/>
            <w:vAlign w:val="center"/>
          </w:tcPr>
          <w:p>
            <w:pPr>
              <w:widowControl/>
              <w:jc w:val="left"/>
              <w:rPr>
                <w:rFonts w:ascii="Arial" w:hAnsi="Arial" w:eastAsia="宋体" w:cs="Arial"/>
                <w:kern w:val="0"/>
                <w:sz w:val="18"/>
                <w:szCs w:val="18"/>
              </w:rPr>
            </w:pPr>
          </w:p>
        </w:tc>
        <w:tc>
          <w:tcPr>
            <w:tcW w:w="1351" w:type="pct"/>
            <w:shd w:val="clear" w:color="auto" w:fill="auto"/>
            <w:vAlign w:val="center"/>
          </w:tcPr>
          <w:p>
            <w:pPr>
              <w:widowControl/>
              <w:wordWrap w:val="0"/>
              <w:spacing w:line="288" w:lineRule="auto"/>
              <w:jc w:val="center"/>
              <w:rPr>
                <w:rFonts w:ascii="Arial" w:hAnsi="Arial" w:eastAsia="宋体" w:cs="Arial"/>
                <w:kern w:val="0"/>
                <w:sz w:val="18"/>
                <w:szCs w:val="18"/>
              </w:rPr>
            </w:pPr>
            <w:r>
              <w:rPr>
                <w:rFonts w:ascii="宋体" w:hAnsi="宋体" w:eastAsia="宋体" w:cs="Arial"/>
                <w:kern w:val="0"/>
                <w:sz w:val="18"/>
                <w:szCs w:val="18"/>
              </w:rPr>
              <w:t>CFR印度70-72%</w:t>
            </w:r>
          </w:p>
        </w:tc>
        <w:tc>
          <w:tcPr>
            <w:tcW w:w="1511" w:type="pct"/>
            <w:shd w:val="clear" w:color="auto" w:fill="auto"/>
            <w:vAlign w:val="center"/>
          </w:tcPr>
          <w:p>
            <w:pPr>
              <w:widowControl/>
              <w:wordWrap w:val="0"/>
              <w:spacing w:line="288" w:lineRule="auto"/>
              <w:jc w:val="center"/>
              <w:rPr>
                <w:rFonts w:ascii="Arial" w:hAnsi="Arial" w:eastAsia="宋体" w:cs="Arial"/>
                <w:kern w:val="0"/>
                <w:sz w:val="18"/>
                <w:szCs w:val="18"/>
              </w:rPr>
            </w:pPr>
            <w:r>
              <w:rPr>
                <w:rFonts w:hint="eastAsia" w:ascii="宋体" w:hAnsi="宋体" w:eastAsia="宋体" w:cs="Arial"/>
                <w:kern w:val="0"/>
                <w:sz w:val="18"/>
                <w:szCs w:val="18"/>
              </w:rPr>
              <w:t>200</w:t>
            </w:r>
            <w:r>
              <w:rPr>
                <w:rFonts w:ascii="宋体" w:hAnsi="宋体" w:eastAsia="宋体" w:cs="Arial"/>
                <w:kern w:val="0"/>
                <w:sz w:val="18"/>
                <w:szCs w:val="18"/>
              </w:rPr>
              <w:t>-</w:t>
            </w:r>
            <w:r>
              <w:rPr>
                <w:rFonts w:hint="eastAsia" w:ascii="宋体" w:hAnsi="宋体" w:eastAsia="宋体" w:cs="Arial"/>
                <w:kern w:val="0"/>
                <w:sz w:val="18"/>
                <w:szCs w:val="18"/>
              </w:rPr>
              <w:t>210</w:t>
            </w:r>
            <w:r>
              <w:rPr>
                <w:rFonts w:ascii="宋体" w:hAnsi="宋体" w:eastAsia="宋体" w:cs="Arial"/>
                <w:kern w:val="0"/>
                <w:sz w:val="18"/>
                <w:szCs w:val="18"/>
              </w:rPr>
              <w:t>（2021第</w:t>
            </w:r>
            <w:r>
              <w:rPr>
                <w:rFonts w:hint="eastAsia" w:ascii="宋体" w:hAnsi="宋体" w:eastAsia="宋体" w:cs="Arial"/>
                <w:kern w:val="0"/>
                <w:sz w:val="18"/>
                <w:szCs w:val="18"/>
              </w:rPr>
              <w:t>四</w:t>
            </w:r>
            <w:r>
              <w:rPr>
                <w:rFonts w:ascii="宋体" w:hAnsi="宋体" w:eastAsia="宋体" w:cs="Arial"/>
                <w:kern w:val="0"/>
                <w:sz w:val="18"/>
                <w:szCs w:val="18"/>
              </w:rPr>
              <w:t>季度）</w:t>
            </w:r>
          </w:p>
        </w:tc>
        <w:tc>
          <w:tcPr>
            <w:tcW w:w="1474" w:type="pct"/>
            <w:shd w:val="clear" w:color="auto" w:fill="auto"/>
            <w:vAlign w:val="center"/>
          </w:tcPr>
          <w:p>
            <w:pPr>
              <w:widowControl/>
              <w:wordWrap w:val="0"/>
              <w:spacing w:line="288" w:lineRule="auto"/>
              <w:jc w:val="center"/>
              <w:rPr>
                <w:rFonts w:ascii="Arial" w:hAnsi="Arial" w:eastAsia="宋体" w:cs="Arial"/>
                <w:kern w:val="0"/>
                <w:sz w:val="18"/>
                <w:szCs w:val="18"/>
              </w:rPr>
            </w:pPr>
            <w:r>
              <w:rPr>
                <w:rFonts w:hint="eastAsia" w:ascii="宋体" w:hAnsi="宋体" w:eastAsia="宋体" w:cs="Arial"/>
                <w:kern w:val="0"/>
                <w:sz w:val="18"/>
                <w:szCs w:val="18"/>
              </w:rPr>
              <w:t>185</w:t>
            </w:r>
            <w:r>
              <w:rPr>
                <w:rFonts w:ascii="宋体" w:hAnsi="宋体" w:eastAsia="宋体" w:cs="Arial"/>
                <w:kern w:val="0"/>
                <w:sz w:val="18"/>
                <w:szCs w:val="18"/>
              </w:rPr>
              <w:t>-</w:t>
            </w:r>
            <w:r>
              <w:rPr>
                <w:rFonts w:hint="eastAsia" w:ascii="宋体" w:hAnsi="宋体" w:eastAsia="宋体" w:cs="Arial"/>
                <w:kern w:val="0"/>
                <w:sz w:val="18"/>
                <w:szCs w:val="18"/>
              </w:rPr>
              <w:t>190</w:t>
            </w:r>
            <w:r>
              <w:rPr>
                <w:rFonts w:ascii="宋体" w:hAnsi="宋体" w:eastAsia="宋体" w:cs="Arial"/>
                <w:kern w:val="0"/>
                <w:sz w:val="18"/>
                <w:szCs w:val="18"/>
              </w:rPr>
              <w:t>（2021第</w:t>
            </w:r>
            <w:r>
              <w:rPr>
                <w:rFonts w:hint="eastAsia" w:ascii="宋体" w:hAnsi="宋体" w:eastAsia="宋体" w:cs="Arial"/>
                <w:kern w:val="0"/>
                <w:sz w:val="18"/>
                <w:szCs w:val="18"/>
              </w:rPr>
              <w:t>三</w:t>
            </w:r>
            <w:r>
              <w:rPr>
                <w:rFonts w:ascii="宋体" w:hAnsi="宋体" w:eastAsia="宋体" w:cs="Arial"/>
                <w:kern w:val="0"/>
                <w:sz w:val="18"/>
                <w:szCs w:val="1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63" w:type="pct"/>
            <w:vMerge w:val="continue"/>
            <w:vAlign w:val="center"/>
          </w:tcPr>
          <w:p>
            <w:pPr>
              <w:widowControl/>
              <w:jc w:val="left"/>
              <w:rPr>
                <w:rFonts w:ascii="Arial" w:hAnsi="Arial" w:eastAsia="宋体" w:cs="Arial"/>
                <w:kern w:val="0"/>
                <w:sz w:val="18"/>
                <w:szCs w:val="18"/>
              </w:rPr>
            </w:pPr>
          </w:p>
        </w:tc>
        <w:tc>
          <w:tcPr>
            <w:tcW w:w="1351" w:type="pct"/>
            <w:shd w:val="clear" w:color="auto" w:fill="auto"/>
            <w:vAlign w:val="center"/>
          </w:tcPr>
          <w:p>
            <w:pPr>
              <w:widowControl/>
              <w:wordWrap w:val="0"/>
              <w:spacing w:line="288" w:lineRule="auto"/>
              <w:jc w:val="center"/>
              <w:rPr>
                <w:rFonts w:ascii="Arial" w:hAnsi="Arial" w:eastAsia="宋体" w:cs="Arial"/>
                <w:kern w:val="0"/>
                <w:sz w:val="18"/>
                <w:szCs w:val="18"/>
              </w:rPr>
            </w:pPr>
            <w:r>
              <w:rPr>
                <w:rFonts w:ascii="宋体" w:hAnsi="宋体" w:eastAsia="宋体" w:cs="Arial"/>
                <w:kern w:val="0"/>
                <w:sz w:val="18"/>
                <w:szCs w:val="18"/>
              </w:rPr>
              <w:t>FOB北非69%</w:t>
            </w:r>
          </w:p>
        </w:tc>
        <w:tc>
          <w:tcPr>
            <w:tcW w:w="1511" w:type="pct"/>
            <w:shd w:val="clear" w:color="auto" w:fill="auto"/>
            <w:vAlign w:val="center"/>
          </w:tcPr>
          <w:p>
            <w:pPr>
              <w:widowControl/>
              <w:wordWrap w:val="0"/>
              <w:spacing w:line="288" w:lineRule="auto"/>
              <w:jc w:val="center"/>
              <w:rPr>
                <w:rFonts w:ascii="宋体" w:hAnsi="宋体" w:eastAsia="宋体" w:cs="Arial"/>
                <w:kern w:val="0"/>
                <w:sz w:val="18"/>
                <w:szCs w:val="18"/>
              </w:rPr>
            </w:pPr>
            <w:r>
              <w:rPr>
                <w:rFonts w:ascii="宋体" w:hAnsi="宋体" w:eastAsia="宋体" w:cs="Arial"/>
                <w:kern w:val="0"/>
                <w:sz w:val="18"/>
                <w:szCs w:val="18"/>
              </w:rPr>
              <w:t>145-170（2021第</w:t>
            </w:r>
            <w:r>
              <w:rPr>
                <w:rFonts w:hint="eastAsia" w:ascii="宋体" w:hAnsi="宋体" w:eastAsia="宋体" w:cs="Arial"/>
                <w:kern w:val="0"/>
                <w:sz w:val="18"/>
                <w:szCs w:val="18"/>
              </w:rPr>
              <w:t>四</w:t>
            </w:r>
            <w:r>
              <w:rPr>
                <w:rFonts w:ascii="宋体" w:hAnsi="宋体" w:eastAsia="宋体" w:cs="Arial"/>
                <w:kern w:val="0"/>
                <w:sz w:val="18"/>
                <w:szCs w:val="18"/>
              </w:rPr>
              <w:t>季度）</w:t>
            </w:r>
          </w:p>
        </w:tc>
        <w:tc>
          <w:tcPr>
            <w:tcW w:w="1474" w:type="pct"/>
            <w:shd w:val="clear" w:color="auto" w:fill="auto"/>
            <w:vAlign w:val="center"/>
          </w:tcPr>
          <w:p>
            <w:pPr>
              <w:widowControl/>
              <w:wordWrap w:val="0"/>
              <w:spacing w:line="288" w:lineRule="auto"/>
              <w:jc w:val="center"/>
              <w:rPr>
                <w:rFonts w:ascii="宋体" w:hAnsi="宋体" w:eastAsia="宋体" w:cs="Arial"/>
                <w:kern w:val="0"/>
                <w:sz w:val="18"/>
                <w:szCs w:val="18"/>
              </w:rPr>
            </w:pPr>
            <w:r>
              <w:rPr>
                <w:rFonts w:ascii="宋体" w:hAnsi="宋体" w:eastAsia="宋体" w:cs="Arial"/>
                <w:kern w:val="0"/>
                <w:sz w:val="18"/>
                <w:szCs w:val="18"/>
              </w:rPr>
              <w:t>1</w:t>
            </w:r>
            <w:r>
              <w:rPr>
                <w:rFonts w:hint="eastAsia" w:ascii="宋体" w:hAnsi="宋体" w:eastAsia="宋体" w:cs="Arial"/>
                <w:kern w:val="0"/>
                <w:sz w:val="18"/>
                <w:szCs w:val="18"/>
              </w:rPr>
              <w:t>30</w:t>
            </w:r>
            <w:r>
              <w:rPr>
                <w:rFonts w:ascii="宋体" w:hAnsi="宋体" w:eastAsia="宋体" w:cs="Arial"/>
                <w:kern w:val="0"/>
                <w:sz w:val="18"/>
                <w:szCs w:val="18"/>
              </w:rPr>
              <w:t>（2021第</w:t>
            </w:r>
            <w:r>
              <w:rPr>
                <w:rFonts w:hint="eastAsia" w:ascii="宋体" w:hAnsi="宋体" w:eastAsia="宋体" w:cs="Arial"/>
                <w:kern w:val="0"/>
                <w:sz w:val="18"/>
                <w:szCs w:val="18"/>
              </w:rPr>
              <w:t>三</w:t>
            </w:r>
            <w:r>
              <w:rPr>
                <w:rFonts w:ascii="宋体" w:hAnsi="宋体" w:eastAsia="宋体" w:cs="Arial"/>
                <w:kern w:val="0"/>
                <w:sz w:val="18"/>
                <w:szCs w:val="18"/>
              </w:rPr>
              <w:t>季度）</w:t>
            </w:r>
          </w:p>
        </w:tc>
      </w:tr>
    </w:tbl>
    <w:p>
      <w:pPr>
        <w:pStyle w:val="24"/>
        <w:jc w:val="center"/>
        <w:rPr>
          <w:rFonts w:ascii="Arial" w:hAnsi="Arial" w:cs="Arial"/>
          <w:color w:val="191919"/>
          <w:sz w:val="21"/>
          <w:szCs w:val="21"/>
        </w:rPr>
      </w:pPr>
      <w:r>
        <w:rPr>
          <w:rFonts w:ascii="Arial" w:hAnsi="Arial" w:cs="Arial"/>
          <w:color w:val="191919"/>
          <w:sz w:val="21"/>
          <w:szCs w:val="21"/>
        </w:rPr>
        <w:t> </w:t>
      </w:r>
    </w:p>
    <w:p/>
    <w:p>
      <w:pPr>
        <w:pStyle w:val="3"/>
        <w:rPr>
          <w:sz w:val="32"/>
        </w:rPr>
      </w:pPr>
      <w:bookmarkStart w:id="35" w:name="_Toc82778792"/>
      <w:bookmarkStart w:id="36" w:name="_Toc97282579"/>
      <w:r>
        <w:rPr>
          <w:rFonts w:hint="eastAsia"/>
          <w:sz w:val="32"/>
        </w:rPr>
        <w:t>国内：磷矿石价格指数（企业车板报价）</w:t>
      </w:r>
      <w:bookmarkEnd w:id="35"/>
      <w:bookmarkEnd w:id="36"/>
    </w:p>
    <w:p/>
    <w:p/>
    <w:tbl>
      <w:tblPr>
        <w:tblStyle w:val="26"/>
        <w:tblW w:w="6480" w:type="dxa"/>
        <w:jc w:val="center"/>
        <w:tblLayout w:type="fixed"/>
        <w:tblCellMar>
          <w:top w:w="0" w:type="dxa"/>
          <w:left w:w="108" w:type="dxa"/>
          <w:bottom w:w="0" w:type="dxa"/>
          <w:right w:w="108" w:type="dxa"/>
        </w:tblCellMar>
      </w:tblPr>
      <w:tblGrid>
        <w:gridCol w:w="6480"/>
      </w:tblGrid>
      <w:tr>
        <w:tblPrEx>
          <w:tblCellMar>
            <w:top w:w="0" w:type="dxa"/>
            <w:left w:w="108" w:type="dxa"/>
            <w:bottom w:w="0" w:type="dxa"/>
            <w:right w:w="108" w:type="dxa"/>
          </w:tblCellMar>
        </w:tblPrEx>
        <w:trPr>
          <w:trHeight w:val="312" w:hRule="atLeast"/>
          <w:jc w:val="center"/>
        </w:trPr>
        <w:tc>
          <w:tcPr>
            <w:tcW w:w="6480" w:type="dxa"/>
            <w:vMerge w:val="restart"/>
            <w:tcBorders>
              <w:top w:val="single" w:color="auto" w:sz="4" w:space="0"/>
              <w:left w:val="single" w:color="auto" w:sz="4" w:space="0"/>
              <w:bottom w:val="single" w:color="000000" w:sz="4" w:space="0"/>
              <w:right w:val="single" w:color="000000" w:sz="4" w:space="0"/>
            </w:tcBorders>
            <w:shd w:val="clear" w:color="auto" w:fill="DD0806"/>
            <w:vAlign w:val="center"/>
          </w:tcPr>
          <w:p>
            <w:pPr>
              <w:jc w:val="center"/>
              <w:rPr>
                <w:b/>
                <w:bCs/>
                <w:color w:val="FFFFFF"/>
                <w:sz w:val="20"/>
                <w:szCs w:val="20"/>
              </w:rPr>
            </w:pPr>
            <w:r>
              <w:rPr>
                <w:rFonts w:hint="eastAsia"/>
                <w:b/>
                <w:bCs/>
                <w:color w:val="FFFFFF"/>
                <w:sz w:val="20"/>
                <w:szCs w:val="20"/>
              </w:rPr>
              <w:t>磷矿石国内市场价格</w:t>
            </w:r>
          </w:p>
        </w:tc>
      </w:tr>
      <w:tr>
        <w:tblPrEx>
          <w:tblCellMar>
            <w:top w:w="0" w:type="dxa"/>
            <w:left w:w="108" w:type="dxa"/>
            <w:bottom w:w="0" w:type="dxa"/>
            <w:right w:w="108" w:type="dxa"/>
          </w:tblCellMar>
        </w:tblPrEx>
        <w:trPr>
          <w:trHeight w:val="312" w:hRule="atLeast"/>
          <w:jc w:val="center"/>
        </w:trPr>
        <w:tc>
          <w:tcPr>
            <w:tcW w:w="6480" w:type="dxa"/>
            <w:vMerge w:val="continue"/>
            <w:tcBorders>
              <w:top w:val="single" w:color="auto" w:sz="4" w:space="0"/>
              <w:left w:val="single" w:color="auto" w:sz="4" w:space="0"/>
              <w:bottom w:val="single" w:color="000000" w:sz="4" w:space="0"/>
              <w:right w:val="single" w:color="000000" w:sz="4" w:space="0"/>
            </w:tcBorders>
            <w:vAlign w:val="center"/>
          </w:tcPr>
          <w:p>
            <w:pPr>
              <w:rPr>
                <w:b/>
                <w:bCs/>
                <w:color w:val="FFFFFF"/>
                <w:sz w:val="20"/>
                <w:szCs w:val="20"/>
              </w:rPr>
            </w:pPr>
          </w:p>
        </w:tc>
      </w:tr>
    </w:tbl>
    <w:p>
      <w:pPr>
        <w:jc w:val="center"/>
      </w:pPr>
      <w:r>
        <w:drawing>
          <wp:inline distT="0" distB="0" distL="114300" distR="114300">
            <wp:extent cx="4095750" cy="2962275"/>
            <wp:effectExtent l="0" t="0" r="0"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4095750" cy="2962275"/>
                    </a:xfrm>
                    <a:prstGeom prst="rect">
                      <a:avLst/>
                    </a:prstGeom>
                    <a:noFill/>
                    <a:ln>
                      <a:noFill/>
                    </a:ln>
                  </pic:spPr>
                </pic:pic>
              </a:graphicData>
            </a:graphic>
          </wp:inline>
        </w:drawing>
      </w:r>
    </w:p>
    <w:bookmarkEnd w:id="16"/>
    <w:bookmarkEnd w:id="17"/>
    <w:bookmarkEnd w:id="18"/>
    <w:bookmarkEnd w:id="19"/>
    <w:bookmarkEnd w:id="20"/>
    <w:bookmarkEnd w:id="21"/>
    <w:bookmarkEnd w:id="22"/>
    <w:bookmarkEnd w:id="23"/>
    <w:bookmarkEnd w:id="24"/>
    <w:bookmarkEnd w:id="25"/>
    <w:p>
      <w:pPr>
        <w:pStyle w:val="3"/>
        <w:rPr>
          <w:sz w:val="32"/>
        </w:rPr>
      </w:pPr>
      <w:bookmarkStart w:id="37" w:name="_Toc485375024"/>
      <w:bookmarkStart w:id="38" w:name="_Toc509578108"/>
      <w:bookmarkStart w:id="39" w:name="_Toc509578807"/>
      <w:bookmarkStart w:id="40" w:name="_Toc97282580"/>
      <w:r>
        <w:rPr>
          <w:rFonts w:hint="eastAsia"/>
          <w:sz w:val="32"/>
        </w:rPr>
        <w:t>国内主产区域磷矿石价格汇总（单位：元/</w:t>
      </w:r>
      <w:bookmarkEnd w:id="37"/>
      <w:bookmarkEnd w:id="38"/>
      <w:bookmarkEnd w:id="39"/>
      <w:r>
        <w:rPr>
          <w:rFonts w:hint="eastAsia"/>
          <w:sz w:val="32"/>
        </w:rPr>
        <w:t>吨）</w:t>
      </w:r>
      <w:bookmarkEnd w:id="40"/>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2257"/>
        <w:gridCol w:w="2257"/>
        <w:gridCol w:w="2257"/>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0" w:type="pct"/>
            <w:shd w:val="clear" w:color="000000" w:fill="96B4DC"/>
            <w:vAlign w:val="center"/>
          </w:tcPr>
          <w:p>
            <w:pPr>
              <w:widowControl/>
              <w:jc w:val="center"/>
              <w:rPr>
                <w:rFonts w:cs="宋体" w:asciiTheme="minorEastAsia" w:hAnsiTheme="minorEastAsia"/>
                <w:b/>
                <w:bCs/>
                <w:color w:val="000000"/>
                <w:kern w:val="0"/>
                <w:sz w:val="18"/>
                <w:szCs w:val="18"/>
              </w:rPr>
            </w:pPr>
            <w:bookmarkStart w:id="41" w:name="_黄磷"/>
            <w:bookmarkEnd w:id="41"/>
            <w:bookmarkStart w:id="42" w:name="_黄磷_"/>
            <w:bookmarkEnd w:id="42"/>
            <w:bookmarkStart w:id="43" w:name="_Toc485375033"/>
            <w:bookmarkStart w:id="44" w:name="_Toc509578111"/>
            <w:bookmarkStart w:id="45" w:name="_Toc509578810"/>
            <w:r>
              <w:rPr>
                <w:rFonts w:hint="eastAsia" w:cs="宋体" w:asciiTheme="minorEastAsia" w:hAnsiTheme="minorEastAsia"/>
                <w:b/>
                <w:bCs/>
                <w:color w:val="000000"/>
                <w:kern w:val="0"/>
                <w:sz w:val="18"/>
                <w:szCs w:val="18"/>
              </w:rPr>
              <w:t>产品</w:t>
            </w:r>
          </w:p>
        </w:tc>
        <w:tc>
          <w:tcPr>
            <w:tcW w:w="1000" w:type="pct"/>
            <w:shd w:val="clear" w:color="000000" w:fill="96B4DC"/>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地区</w:t>
            </w:r>
          </w:p>
        </w:tc>
        <w:tc>
          <w:tcPr>
            <w:tcW w:w="1000" w:type="pct"/>
            <w:shd w:val="clear" w:color="000000" w:fill="96B4DC"/>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规格</w:t>
            </w:r>
          </w:p>
        </w:tc>
        <w:tc>
          <w:tcPr>
            <w:tcW w:w="1000" w:type="pct"/>
            <w:shd w:val="clear" w:color="000000" w:fill="96B4DC"/>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lang w:val="en-US" w:eastAsia="zh-CN"/>
              </w:rPr>
              <w:t>4</w:t>
            </w:r>
            <w:r>
              <w:rPr>
                <w:rFonts w:hint="eastAsia" w:cs="宋体" w:asciiTheme="minorEastAsia" w:hAnsiTheme="minorEastAsia"/>
                <w:b/>
                <w:bCs/>
                <w:color w:val="000000"/>
                <w:kern w:val="0"/>
                <w:sz w:val="18"/>
                <w:szCs w:val="18"/>
              </w:rPr>
              <w:t>月</w:t>
            </w:r>
            <w:r>
              <w:rPr>
                <w:rFonts w:hint="eastAsia" w:cs="宋体" w:asciiTheme="minorEastAsia" w:hAnsiTheme="minorEastAsia"/>
                <w:b/>
                <w:bCs/>
                <w:color w:val="000000"/>
                <w:kern w:val="0"/>
                <w:sz w:val="18"/>
                <w:szCs w:val="18"/>
                <w:lang w:val="en-US" w:eastAsia="zh-CN"/>
              </w:rPr>
              <w:t>1</w:t>
            </w:r>
            <w:r>
              <w:rPr>
                <w:rFonts w:hint="eastAsia" w:cs="宋体" w:asciiTheme="minorEastAsia" w:hAnsiTheme="minorEastAsia"/>
                <w:b/>
                <w:bCs/>
                <w:color w:val="000000"/>
                <w:kern w:val="0"/>
                <w:sz w:val="18"/>
                <w:szCs w:val="18"/>
              </w:rPr>
              <w:t>日</w:t>
            </w:r>
          </w:p>
        </w:tc>
        <w:tc>
          <w:tcPr>
            <w:tcW w:w="1000" w:type="pct"/>
            <w:shd w:val="clear" w:color="000000" w:fill="96B4DC"/>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3月</w:t>
            </w:r>
            <w:r>
              <w:rPr>
                <w:rFonts w:hint="eastAsia" w:cs="宋体" w:asciiTheme="minorEastAsia" w:hAnsiTheme="minorEastAsia"/>
                <w:b/>
                <w:bCs/>
                <w:color w:val="000000"/>
                <w:kern w:val="0"/>
                <w:sz w:val="18"/>
                <w:szCs w:val="18"/>
                <w:lang w:val="en-US" w:eastAsia="zh-CN"/>
              </w:rPr>
              <w:t>25</w:t>
            </w:r>
            <w:r>
              <w:rPr>
                <w:rFonts w:hint="eastAsia" w:cs="宋体" w:asciiTheme="minorEastAsia" w:hAnsiTheme="minorEastAsia"/>
                <w:b/>
                <w:bCs/>
                <w:color w:val="000000"/>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pct"/>
            <w:vMerge w:val="restar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磷矿石</w:t>
            </w:r>
          </w:p>
        </w:tc>
        <w:tc>
          <w:tcPr>
            <w:tcW w:w="1000" w:type="pc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云南</w:t>
            </w:r>
          </w:p>
        </w:tc>
        <w:tc>
          <w:tcPr>
            <w:tcW w:w="1000" w:type="pc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560</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0" w:type="pct"/>
            <w:vMerge w:val="continue"/>
            <w:vAlign w:val="center"/>
          </w:tcPr>
          <w:p>
            <w:pPr>
              <w:widowControl/>
              <w:jc w:val="left"/>
              <w:rPr>
                <w:rFonts w:ascii="宋体" w:hAnsi="宋体" w:cs="宋体"/>
                <w:color w:val="000000"/>
                <w:kern w:val="0"/>
                <w:sz w:val="18"/>
                <w:szCs w:val="18"/>
              </w:rPr>
            </w:pPr>
          </w:p>
        </w:tc>
        <w:tc>
          <w:tcPr>
            <w:tcW w:w="1000" w:type="pct"/>
            <w:vMerge w:val="restar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四川</w:t>
            </w:r>
          </w:p>
        </w:tc>
        <w:tc>
          <w:tcPr>
            <w:tcW w:w="1000" w:type="pc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0" w:type="pct"/>
            <w:vMerge w:val="continue"/>
            <w:vAlign w:val="center"/>
          </w:tcPr>
          <w:p>
            <w:pPr>
              <w:widowControl/>
              <w:jc w:val="left"/>
              <w:rPr>
                <w:rFonts w:ascii="宋体" w:hAnsi="宋体" w:cs="宋体"/>
                <w:color w:val="000000"/>
                <w:kern w:val="0"/>
                <w:sz w:val="18"/>
                <w:szCs w:val="18"/>
              </w:rPr>
            </w:pPr>
          </w:p>
        </w:tc>
        <w:tc>
          <w:tcPr>
            <w:tcW w:w="1000" w:type="pct"/>
            <w:vMerge w:val="continue"/>
            <w:vAlign w:val="center"/>
          </w:tcPr>
          <w:p>
            <w:pPr>
              <w:widowControl/>
              <w:jc w:val="left"/>
              <w:rPr>
                <w:rFonts w:ascii="宋体" w:hAnsi="宋体" w:cs="宋体"/>
                <w:color w:val="000000"/>
                <w:kern w:val="0"/>
                <w:sz w:val="18"/>
                <w:szCs w:val="18"/>
              </w:rPr>
            </w:pPr>
          </w:p>
        </w:tc>
        <w:tc>
          <w:tcPr>
            <w:tcW w:w="1000" w:type="pc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0" w:type="pct"/>
            <w:vMerge w:val="continue"/>
            <w:vAlign w:val="center"/>
          </w:tcPr>
          <w:p>
            <w:pPr>
              <w:widowControl/>
              <w:jc w:val="left"/>
              <w:rPr>
                <w:rFonts w:ascii="宋体" w:hAnsi="宋体" w:cs="宋体"/>
                <w:color w:val="000000"/>
                <w:kern w:val="0"/>
                <w:sz w:val="18"/>
                <w:szCs w:val="18"/>
              </w:rPr>
            </w:pPr>
          </w:p>
        </w:tc>
        <w:tc>
          <w:tcPr>
            <w:tcW w:w="1000" w:type="pc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贵州</w:t>
            </w:r>
          </w:p>
        </w:tc>
        <w:tc>
          <w:tcPr>
            <w:tcW w:w="1000" w:type="pc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0" w:type="pct"/>
            <w:vMerge w:val="continue"/>
            <w:vAlign w:val="center"/>
          </w:tcPr>
          <w:p>
            <w:pPr>
              <w:widowControl/>
              <w:jc w:val="left"/>
              <w:rPr>
                <w:rFonts w:ascii="宋体" w:hAnsi="宋体" w:cs="宋体"/>
                <w:color w:val="000000"/>
                <w:kern w:val="0"/>
                <w:sz w:val="18"/>
                <w:szCs w:val="18"/>
              </w:rPr>
            </w:pPr>
          </w:p>
        </w:tc>
        <w:tc>
          <w:tcPr>
            <w:tcW w:w="1000" w:type="pct"/>
            <w:vMerge w:val="restar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湖北</w:t>
            </w:r>
          </w:p>
        </w:tc>
        <w:tc>
          <w:tcPr>
            <w:tcW w:w="1000" w:type="pc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0" w:type="pct"/>
            <w:vMerge w:val="continue"/>
            <w:vAlign w:val="center"/>
          </w:tcPr>
          <w:p>
            <w:pPr>
              <w:widowControl/>
              <w:jc w:val="left"/>
              <w:rPr>
                <w:rFonts w:ascii="宋体" w:hAnsi="宋体" w:cs="宋体"/>
                <w:color w:val="000000"/>
                <w:kern w:val="0"/>
                <w:sz w:val="18"/>
                <w:szCs w:val="18"/>
              </w:rPr>
            </w:pPr>
          </w:p>
        </w:tc>
        <w:tc>
          <w:tcPr>
            <w:tcW w:w="1000" w:type="pct"/>
            <w:vMerge w:val="continue"/>
            <w:vAlign w:val="center"/>
          </w:tcPr>
          <w:p>
            <w:pPr>
              <w:widowControl/>
              <w:jc w:val="left"/>
              <w:rPr>
                <w:rFonts w:ascii="宋体" w:hAnsi="宋体" w:cs="宋体"/>
                <w:color w:val="000000"/>
                <w:kern w:val="0"/>
                <w:sz w:val="18"/>
                <w:szCs w:val="18"/>
              </w:rPr>
            </w:pPr>
          </w:p>
        </w:tc>
        <w:tc>
          <w:tcPr>
            <w:tcW w:w="1000" w:type="pct"/>
            <w:shd w:val="clear" w:color="000000" w:fill="F9F9F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680</w:t>
            </w:r>
          </w:p>
        </w:tc>
        <w:tc>
          <w:tcPr>
            <w:tcW w:w="1000" w:type="pct"/>
            <w:shd w:val="clear" w:color="000000" w:fill="F9F9F9"/>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680</w:t>
            </w:r>
          </w:p>
        </w:tc>
      </w:tr>
    </w:tbl>
    <w:p>
      <w:pPr>
        <w:pStyle w:val="2"/>
        <w:rPr>
          <w:color w:val="000000"/>
        </w:rPr>
      </w:pPr>
      <w:bookmarkStart w:id="46" w:name="_Toc97282581"/>
      <w:r>
        <w:rPr>
          <w:color w:val="000000"/>
        </w:rPr>
        <w:t>黄磷</w:t>
      </w:r>
      <w:bookmarkEnd w:id="13"/>
      <w:bookmarkEnd w:id="43"/>
      <w:bookmarkEnd w:id="44"/>
      <w:bookmarkEnd w:id="45"/>
      <w:bookmarkEnd w:id="46"/>
    </w:p>
    <w:bookmarkEnd w:id="14"/>
    <w:bookmarkEnd w:id="15"/>
    <w:p>
      <w:pPr>
        <w:pStyle w:val="3"/>
        <w:rPr>
          <w:sz w:val="32"/>
        </w:rPr>
      </w:pPr>
      <w:bookmarkStart w:id="47" w:name="_磷酸"/>
      <w:bookmarkEnd w:id="47"/>
      <w:bookmarkStart w:id="48" w:name="_Toc245273849"/>
      <w:bookmarkStart w:id="49" w:name="_Toc294790742"/>
      <w:bookmarkStart w:id="50" w:name="_Toc485375034"/>
      <w:bookmarkStart w:id="51" w:name="_Toc509578112"/>
      <w:bookmarkStart w:id="52" w:name="_Toc509578811"/>
      <w:bookmarkStart w:id="53" w:name="_Toc97282582"/>
      <w:bookmarkStart w:id="54" w:name="_Toc211422061"/>
      <w:bookmarkStart w:id="55" w:name="_Toc185611020"/>
      <w:r>
        <w:rPr>
          <w:rFonts w:hint="eastAsia"/>
          <w:sz w:val="32"/>
        </w:rPr>
        <w:t>评述：中国黄磷市场一周评述及后市预测</w:t>
      </w:r>
      <w:bookmarkEnd w:id="48"/>
      <w:bookmarkEnd w:id="49"/>
      <w:bookmarkEnd w:id="50"/>
      <w:bookmarkEnd w:id="51"/>
      <w:bookmarkEnd w:id="52"/>
      <w:bookmarkEnd w:id="53"/>
      <w:bookmarkStart w:id="56" w:name="_Toc212014395"/>
      <w:bookmarkStart w:id="57" w:name="_Toc350515089"/>
      <w:bookmarkStart w:id="58" w:name="_Toc485375035"/>
      <w:bookmarkStart w:id="59" w:name="_Toc257367148"/>
      <w:bookmarkStart w:id="60" w:name="_Toc302129367"/>
      <w:bookmarkStart w:id="61" w:name="_Toc312333686"/>
      <w:bookmarkStart w:id="62" w:name="_Toc319058555"/>
      <w:bookmarkStart w:id="63" w:name="_Toc250730015"/>
      <w:bookmarkStart w:id="64" w:name="_Toc211422059"/>
    </w:p>
    <w:bookmarkEnd w:id="56"/>
    <w:bookmarkEnd w:id="57"/>
    <w:bookmarkEnd w:id="58"/>
    <w:bookmarkEnd w:id="59"/>
    <w:bookmarkEnd w:id="60"/>
    <w:bookmarkEnd w:id="61"/>
    <w:bookmarkEnd w:id="62"/>
    <w:bookmarkEnd w:id="63"/>
    <w:bookmarkEnd w:id="64"/>
    <w:p>
      <w:pPr>
        <w:pStyle w:val="24"/>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本周黄磷市场价格弱势运行为主，经过周初市场高位整理后，下游采购因黄磷价格高位暂处僵持阶段，贸易商及采购企业对高价观望，采购意向不高，市场以零星补货为主。临近清明假期，高速禁运在即，黄磷企业急于消化黄磷，加之下游压价，整体市场成交重心缓慢下移。同时，江浙沪及山东等地区受疫情影响，道路封控，黄磷运输受限，而下游企业开工及产品销售均受到影响，使黄磷市场整体需求预期下滑。截至目前我国黄磷企业净磷出厂承兑报价集中在 37000-38000 元/吨，较上周末报价上涨 1000 元/吨附近。目前云南地区净磷出厂承兑成交价格参考 35500-36000 元/吨，临近假期，市场新单稀少，黄磷企业集中发运前期订单;四川净磷出厂承兑成交参考 35500-36000 元/吨附近，省内磷酸盐企业观望，鲜少采购;贵州地区净磷出厂承兑成交参考 35500-36000 元/吨，省内适量供应老客户订单。</w:t>
      </w:r>
    </w:p>
    <w:p>
      <w:pPr>
        <w:pStyle w:val="24"/>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后市预测：</w:t>
      </w:r>
      <w:bookmarkStart w:id="65" w:name="_Toc97282583"/>
      <w:r>
        <w:rPr>
          <w:rFonts w:asciiTheme="minorEastAsia" w:hAnsiTheme="minorEastAsia" w:eastAsiaTheme="minorEastAsia"/>
          <w:sz w:val="18"/>
          <w:szCs w:val="18"/>
        </w:rPr>
        <w:t>预计短期内黄磷需求减弱，价格可能下滑。但考虑到清明节前后，供需市场以观望心态为主，新单商谈积极性较低，预计跌幅有限，下降空间约2000元/吨。目前黄磷价格高位，价格在产业链上传导困难，下游生产承压，对黄磷保持观望看跌心态。多数下游企业订单和库存较为充足，询单、采购积极性不足。部分黄磷企业库存积压，加之有补单需求，为缓解出货压力，可能接受降价签单。目前国内华东个别地区疫情仍未得到明显改善，物流运输受限。</w:t>
      </w:r>
    </w:p>
    <w:p>
      <w:pPr>
        <w:pStyle w:val="3"/>
        <w:rPr>
          <w:sz w:val="32"/>
        </w:rPr>
      </w:pPr>
      <w:r>
        <w:rPr>
          <w:rFonts w:hint="eastAsia"/>
          <w:sz w:val="32"/>
        </w:rPr>
        <w:t>国内：黄磷价格指数参考</w:t>
      </w:r>
      <w:bookmarkEnd w:id="65"/>
    </w:p>
    <w:p>
      <w:pPr>
        <w:spacing w:line="360" w:lineRule="auto"/>
        <w:jc w:val="center"/>
      </w:pPr>
    </w:p>
    <w:p>
      <w:pPr>
        <w:pStyle w:val="3"/>
        <w:jc w:val="center"/>
        <w:rPr>
          <w:sz w:val="32"/>
        </w:rPr>
      </w:pPr>
      <w:r>
        <w:drawing>
          <wp:inline distT="0" distB="0" distL="114300" distR="114300">
            <wp:extent cx="4162425" cy="2400300"/>
            <wp:effectExtent l="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9"/>
                    <a:stretch>
                      <a:fillRect/>
                    </a:stretch>
                  </pic:blipFill>
                  <pic:spPr>
                    <a:xfrm>
                      <a:off x="0" y="0"/>
                      <a:ext cx="4162425" cy="2400300"/>
                    </a:xfrm>
                    <a:prstGeom prst="rect">
                      <a:avLst/>
                    </a:prstGeom>
                    <a:noFill/>
                    <a:ln>
                      <a:noFill/>
                    </a:ln>
                  </pic:spPr>
                </pic:pic>
              </a:graphicData>
            </a:graphic>
          </wp:inline>
        </w:drawing>
      </w:r>
    </w:p>
    <w:p>
      <w:pPr>
        <w:pStyle w:val="3"/>
        <w:rPr>
          <w:sz w:val="32"/>
        </w:rPr>
      </w:pPr>
      <w:bookmarkStart w:id="66" w:name="_Toc312333687"/>
      <w:bookmarkStart w:id="67" w:name="_Toc319058556"/>
      <w:bookmarkStart w:id="68" w:name="_Toc350515090"/>
      <w:bookmarkStart w:id="69" w:name="_Toc211422060"/>
      <w:bookmarkStart w:id="70" w:name="_Toc212014396"/>
      <w:bookmarkStart w:id="71" w:name="_Toc485375036"/>
      <w:bookmarkStart w:id="72" w:name="_Toc509578113"/>
      <w:bookmarkStart w:id="73" w:name="_Toc509578812"/>
      <w:bookmarkStart w:id="74" w:name="_Toc250730016"/>
      <w:bookmarkStart w:id="75" w:name="_Toc257367149"/>
      <w:bookmarkStart w:id="76" w:name="_Toc302129368"/>
      <w:bookmarkStart w:id="77" w:name="_Toc97282584"/>
      <w:r>
        <w:rPr>
          <w:rFonts w:hint="eastAsia"/>
          <w:sz w:val="32"/>
        </w:rPr>
        <w:t>本周部分企业黄磷出厂价格周汇总</w:t>
      </w:r>
      <w:bookmarkEnd w:id="66"/>
      <w:bookmarkEnd w:id="67"/>
      <w:bookmarkEnd w:id="68"/>
      <w:bookmarkEnd w:id="69"/>
      <w:bookmarkEnd w:id="70"/>
      <w:bookmarkEnd w:id="71"/>
      <w:bookmarkEnd w:id="72"/>
      <w:bookmarkEnd w:id="73"/>
      <w:bookmarkEnd w:id="74"/>
      <w:bookmarkEnd w:id="75"/>
      <w:bookmarkEnd w:id="76"/>
      <w:bookmarkEnd w:id="77"/>
    </w:p>
    <w:p/>
    <w:p>
      <w:pPr>
        <w:jc w:val="right"/>
      </w:pPr>
      <w:r>
        <w:rPr>
          <w:rFonts w:hint="eastAsia"/>
        </w:rPr>
        <w:t>单位：元/吨</w:t>
      </w:r>
    </w:p>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4543"/>
        <w:gridCol w:w="1909"/>
        <w:gridCol w:w="165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shd w:val="clear" w:color="auto" w:fill="99CC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省市</w:t>
            </w:r>
          </w:p>
        </w:tc>
        <w:tc>
          <w:tcPr>
            <w:tcW w:w="2013" w:type="pct"/>
            <w:shd w:val="clear" w:color="auto" w:fill="99CC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企业</w:t>
            </w:r>
          </w:p>
        </w:tc>
        <w:tc>
          <w:tcPr>
            <w:tcW w:w="846" w:type="pct"/>
            <w:shd w:val="clear" w:color="auto" w:fill="99CC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类型</w:t>
            </w:r>
          </w:p>
        </w:tc>
        <w:tc>
          <w:tcPr>
            <w:tcW w:w="731" w:type="pct"/>
            <w:shd w:val="clear" w:color="auto" w:fill="99CCFF"/>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2022-</w:t>
            </w:r>
            <w:r>
              <w:rPr>
                <w:rFonts w:hint="eastAsia" w:asciiTheme="minorEastAsia" w:hAnsiTheme="minorEastAsia"/>
                <w:b/>
                <w:bCs/>
                <w:color w:val="000000"/>
                <w:sz w:val="18"/>
                <w:szCs w:val="18"/>
                <w:lang w:val="en-US" w:eastAsia="zh-CN"/>
              </w:rPr>
              <w:t>4</w:t>
            </w:r>
            <w:r>
              <w:rPr>
                <w:rFonts w:hint="eastAsia" w:asciiTheme="minorEastAsia" w:hAnsiTheme="minorEastAsia"/>
                <w:b/>
                <w:bCs/>
                <w:color w:val="000000"/>
                <w:sz w:val="18"/>
                <w:szCs w:val="18"/>
              </w:rPr>
              <w:t>-1</w:t>
            </w:r>
          </w:p>
        </w:tc>
        <w:tc>
          <w:tcPr>
            <w:tcW w:w="730" w:type="pct"/>
            <w:shd w:val="clear" w:color="auto" w:fill="99CCFF"/>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2022-3-25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湖北</w:t>
            </w: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尧治河化工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兴发集团</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贵州</w:t>
            </w: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国华天鑫磷业</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39000</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瓮福磷业</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w:t>
            </w:r>
            <w:r>
              <w:rPr>
                <w:rFonts w:hint="eastAsia" w:asciiTheme="minorEastAsia" w:hAnsiTheme="minorEastAsia"/>
                <w:color w:val="000000"/>
                <w:sz w:val="18"/>
                <w:szCs w:val="18"/>
                <w:lang w:val="en-US" w:eastAsia="zh-CN"/>
              </w:rPr>
              <w:t>75</w:t>
            </w:r>
            <w:r>
              <w:rPr>
                <w:rFonts w:hint="eastAsia" w:asciiTheme="minorEastAsia" w:hAnsiTheme="minorEastAsia"/>
                <w:color w:val="000000"/>
                <w:sz w:val="18"/>
                <w:szCs w:val="18"/>
              </w:rPr>
              <w:t>00</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施秉成功磷化瓮安分公司</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开磷化工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瓮安县龙马磷业</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黔能天和</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青利天盟</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39000</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息烽合力 </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开阳安达磷化工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贵州开阳磷化工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瓮安龙腾化工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四川</w:t>
            </w: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华丰化工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金川化工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到站</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天亿化工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林辰化工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启明星</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w:t>
            </w:r>
            <w:r>
              <w:rPr>
                <w:rFonts w:hint="eastAsia" w:asciiTheme="minorEastAsia" w:hAnsiTheme="minorEastAsia"/>
                <w:color w:val="000000"/>
                <w:sz w:val="18"/>
                <w:szCs w:val="18"/>
                <w:lang w:val="en-US" w:eastAsia="zh-CN"/>
              </w:rPr>
              <w:t>8</w:t>
            </w:r>
            <w:r>
              <w:rPr>
                <w:rFonts w:hint="eastAsia" w:asciiTheme="minorEastAsia" w:hAnsiTheme="minorEastAsia"/>
                <w:color w:val="000000"/>
                <w:sz w:val="18"/>
                <w:szCs w:val="18"/>
              </w:rPr>
              <w:t>000</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石棉蓝海</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石棉弘盛电化</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石棉县蜀鲁锌冶</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马边无穷</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雷波凯瑞</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四川金石化工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马边龙泰磷电</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w:t>
            </w: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江磷集团</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低砷净磷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36000</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ind w:firstLine="180" w:firstLineChars="100"/>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康盛磷业</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ind w:firstLine="180" w:firstLineChars="100"/>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晋宁黄磷厂</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ind w:firstLine="180" w:firstLineChars="100"/>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云南马龙云华</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w:t>
            </w:r>
            <w:r>
              <w:rPr>
                <w:rFonts w:hint="eastAsia" w:asciiTheme="minorEastAsia" w:hAnsiTheme="minorEastAsia"/>
                <w:color w:val="000000"/>
                <w:sz w:val="18"/>
                <w:szCs w:val="18"/>
                <w:lang w:val="en-US" w:eastAsia="zh-CN"/>
              </w:rPr>
              <w:t>7</w:t>
            </w:r>
            <w:r>
              <w:rPr>
                <w:rFonts w:hint="eastAsia" w:asciiTheme="minorEastAsia" w:hAnsiTheme="minorEastAsia"/>
                <w:color w:val="000000"/>
                <w:sz w:val="18"/>
                <w:szCs w:val="18"/>
              </w:rPr>
              <w:t>000</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ind w:firstLine="180" w:firstLineChars="100"/>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云南陆良荣盛</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ind w:firstLine="180" w:firstLineChars="100"/>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云南陆良宏盈</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ind w:firstLine="180" w:firstLineChars="100"/>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云南荣成达</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ind w:firstLine="180" w:firstLineChars="100"/>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南磷集团</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0" w:type="pct"/>
            <w:vMerge w:val="continue"/>
            <w:vAlign w:val="center"/>
          </w:tcPr>
          <w:p>
            <w:pPr>
              <w:ind w:firstLine="180" w:firstLineChars="100"/>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云南天安化工</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0" w:type="pct"/>
            <w:vMerge w:val="continue"/>
            <w:vAlign w:val="center"/>
          </w:tcPr>
          <w:p>
            <w:pPr>
              <w:widowControl/>
              <w:ind w:firstLine="180" w:firstLineChars="100"/>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屏边福利黄磷厂</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lang w:val="en-US" w:eastAsia="zh-CN"/>
              </w:rPr>
              <w:t>40</w:t>
            </w:r>
            <w:r>
              <w:rPr>
                <w:rFonts w:hint="eastAsia" w:asciiTheme="minorEastAsia" w:hAnsiTheme="minorEastAsia"/>
                <w:color w:val="000000"/>
                <w:sz w:val="18"/>
                <w:szCs w:val="18"/>
              </w:rPr>
              <w:t>000</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澄江冶钢集团</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澄江华业</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澄江志成</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云南活发</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0" w:type="pct"/>
            <w:vMerge w:val="continue"/>
            <w:vAlign w:val="center"/>
          </w:tcPr>
          <w:p>
            <w:pPr>
              <w:widowControl/>
              <w:jc w:val="left"/>
              <w:rPr>
                <w:rFonts w:cs="宋体" w:asciiTheme="minorEastAsia" w:hAnsiTheme="minorEastAsia"/>
                <w:color w:val="000000"/>
                <w:kern w:val="0"/>
                <w:sz w:val="18"/>
                <w:szCs w:val="18"/>
              </w:rPr>
            </w:pPr>
          </w:p>
        </w:tc>
        <w:tc>
          <w:tcPr>
            <w:tcW w:w="201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华宁汇鑫</w:t>
            </w:r>
          </w:p>
        </w:tc>
        <w:tc>
          <w:tcPr>
            <w:tcW w:w="846"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净磷</w:t>
            </w:r>
          </w:p>
        </w:tc>
        <w:tc>
          <w:tcPr>
            <w:tcW w:w="731"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730"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bl>
    <w:p>
      <w:pPr>
        <w:rPr>
          <w:color w:val="000000"/>
        </w:rPr>
      </w:pPr>
    </w:p>
    <w:p>
      <w:pPr>
        <w:pStyle w:val="3"/>
        <w:rPr>
          <w:sz w:val="32"/>
        </w:rPr>
      </w:pPr>
      <w:bookmarkStart w:id="78" w:name="_Toc257367150"/>
      <w:bookmarkStart w:id="79" w:name="_Toc97282585"/>
      <w:bookmarkStart w:id="80" w:name="_Toc302129369"/>
      <w:bookmarkStart w:id="81" w:name="_Toc312333688"/>
      <w:bookmarkStart w:id="82" w:name="_Toc509578114"/>
      <w:bookmarkStart w:id="83" w:name="_Toc509578813"/>
      <w:bookmarkStart w:id="84" w:name="_Toc485375037"/>
      <w:bookmarkStart w:id="85" w:name="_Toc319058557"/>
      <w:bookmarkStart w:id="86" w:name="_Toc350515091"/>
      <w:r>
        <w:rPr>
          <w:rFonts w:hint="eastAsia"/>
          <w:sz w:val="32"/>
        </w:rPr>
        <w:t>本周国内黄磷主产区市场成交价格</w:t>
      </w:r>
      <w:bookmarkEnd w:id="78"/>
      <w:r>
        <w:rPr>
          <w:rFonts w:hint="eastAsia"/>
          <w:sz w:val="32"/>
        </w:rPr>
        <w:t>（单位：元/吨）</w:t>
      </w:r>
      <w:bookmarkEnd w:id="79"/>
      <w:bookmarkEnd w:id="80"/>
      <w:bookmarkEnd w:id="81"/>
      <w:bookmarkEnd w:id="82"/>
      <w:bookmarkEnd w:id="83"/>
      <w:bookmarkEnd w:id="84"/>
      <w:bookmarkEnd w:id="85"/>
      <w:bookmarkEnd w:id="86"/>
    </w:p>
    <w:p>
      <w:pPr>
        <w:rPr>
          <w:color w:val="000000"/>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2214"/>
        <w:gridCol w:w="2300"/>
        <w:gridCol w:w="2257"/>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0" w:type="pct"/>
            <w:shd w:val="clear" w:color="auto" w:fill="99CC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区域</w:t>
            </w:r>
          </w:p>
        </w:tc>
        <w:tc>
          <w:tcPr>
            <w:tcW w:w="981" w:type="pct"/>
            <w:shd w:val="clear" w:color="auto" w:fill="99CCFF"/>
            <w:vAlign w:val="center"/>
          </w:tcPr>
          <w:p>
            <w:pPr>
              <w:widowControl/>
              <w:jc w:val="center"/>
              <w:rPr>
                <w:rFonts w:hint="eastAsia" w:cs="宋体" w:asciiTheme="minorEastAsia" w:hAnsiTheme="minorEastAsia" w:eastAsiaTheme="minorEastAsia"/>
                <w:b/>
                <w:bCs/>
                <w:color w:val="000000"/>
                <w:kern w:val="0"/>
                <w:sz w:val="18"/>
                <w:szCs w:val="18"/>
                <w:lang w:val="en-US" w:eastAsia="zh-CN"/>
              </w:rPr>
            </w:pPr>
            <w:r>
              <w:rPr>
                <w:rFonts w:hint="eastAsia" w:cs="宋体" w:asciiTheme="minorEastAsia" w:hAnsiTheme="minorEastAsia"/>
                <w:b/>
                <w:bCs/>
                <w:color w:val="000000"/>
                <w:kern w:val="0"/>
                <w:sz w:val="18"/>
                <w:szCs w:val="18"/>
              </w:rPr>
              <w:t>2022-</w:t>
            </w:r>
            <w:r>
              <w:rPr>
                <w:rFonts w:hint="eastAsia" w:cs="宋体" w:asciiTheme="minorEastAsia" w:hAnsiTheme="minorEastAsia"/>
                <w:b/>
                <w:bCs/>
                <w:color w:val="000000"/>
                <w:kern w:val="0"/>
                <w:sz w:val="18"/>
                <w:szCs w:val="18"/>
                <w:lang w:val="en-US" w:eastAsia="zh-CN"/>
              </w:rPr>
              <w:t>4</w:t>
            </w:r>
            <w:r>
              <w:rPr>
                <w:rFonts w:hint="eastAsia" w:cs="宋体" w:asciiTheme="minorEastAsia" w:hAnsiTheme="minorEastAsia"/>
                <w:b/>
                <w:bCs/>
                <w:color w:val="000000"/>
                <w:kern w:val="0"/>
                <w:sz w:val="18"/>
                <w:szCs w:val="18"/>
              </w:rPr>
              <w:t>-</w:t>
            </w:r>
            <w:r>
              <w:rPr>
                <w:rFonts w:hint="eastAsia" w:cs="宋体" w:asciiTheme="minorEastAsia" w:hAnsiTheme="minorEastAsia"/>
                <w:b/>
                <w:bCs/>
                <w:color w:val="000000"/>
                <w:kern w:val="0"/>
                <w:sz w:val="18"/>
                <w:szCs w:val="18"/>
                <w:lang w:val="en-US" w:eastAsia="zh-CN"/>
              </w:rPr>
              <w:t>1</w:t>
            </w:r>
          </w:p>
        </w:tc>
        <w:tc>
          <w:tcPr>
            <w:tcW w:w="1019" w:type="pct"/>
            <w:shd w:val="clear" w:color="auto" w:fill="99CCFF"/>
            <w:vAlign w:val="center"/>
          </w:tcPr>
          <w:p>
            <w:pPr>
              <w:widowControl/>
              <w:rPr>
                <w:rFonts w:hint="default" w:cs="宋体" w:asciiTheme="minorEastAsia" w:hAnsiTheme="minorEastAsia" w:eastAsiaTheme="minorEastAsia"/>
                <w:b/>
                <w:bCs/>
                <w:color w:val="000000"/>
                <w:kern w:val="0"/>
                <w:sz w:val="18"/>
                <w:szCs w:val="18"/>
                <w:lang w:val="en-US" w:eastAsia="zh-CN"/>
              </w:rPr>
            </w:pPr>
            <w:r>
              <w:rPr>
                <w:rFonts w:hint="eastAsia" w:cs="宋体" w:asciiTheme="minorEastAsia" w:hAnsiTheme="minorEastAsia"/>
                <w:b/>
                <w:bCs/>
                <w:color w:val="000000"/>
                <w:kern w:val="0"/>
                <w:sz w:val="18"/>
                <w:szCs w:val="18"/>
              </w:rPr>
              <w:t xml:space="preserve">      2022-3-</w:t>
            </w:r>
            <w:r>
              <w:rPr>
                <w:rFonts w:hint="eastAsia" w:cs="宋体" w:asciiTheme="minorEastAsia" w:hAnsiTheme="minorEastAsia"/>
                <w:b/>
                <w:bCs/>
                <w:color w:val="000000"/>
                <w:kern w:val="0"/>
                <w:sz w:val="18"/>
                <w:szCs w:val="18"/>
                <w:lang w:val="en-US" w:eastAsia="zh-CN"/>
              </w:rPr>
              <w:t>31</w:t>
            </w:r>
          </w:p>
        </w:tc>
        <w:tc>
          <w:tcPr>
            <w:tcW w:w="1000" w:type="pct"/>
            <w:shd w:val="clear" w:color="auto" w:fill="99CCFF"/>
            <w:vAlign w:val="center"/>
          </w:tcPr>
          <w:p>
            <w:pPr>
              <w:widowControl/>
              <w:jc w:val="center"/>
              <w:rPr>
                <w:rFonts w:hint="default" w:cs="宋体" w:asciiTheme="minorEastAsia" w:hAnsiTheme="minorEastAsia" w:eastAsiaTheme="minorEastAsia"/>
                <w:b/>
                <w:bCs/>
                <w:color w:val="000000"/>
                <w:kern w:val="0"/>
                <w:sz w:val="18"/>
                <w:szCs w:val="18"/>
                <w:lang w:val="en-US" w:eastAsia="zh-CN"/>
              </w:rPr>
            </w:pPr>
            <w:r>
              <w:rPr>
                <w:rFonts w:hint="eastAsia" w:cs="宋体" w:asciiTheme="minorEastAsia" w:hAnsiTheme="minorEastAsia"/>
                <w:b/>
                <w:bCs/>
                <w:color w:val="000000"/>
                <w:kern w:val="0"/>
                <w:sz w:val="18"/>
                <w:szCs w:val="18"/>
              </w:rPr>
              <w:t>2022-3-</w:t>
            </w:r>
            <w:r>
              <w:rPr>
                <w:rFonts w:hint="eastAsia" w:cs="宋体" w:asciiTheme="minorEastAsia" w:hAnsiTheme="minorEastAsia"/>
                <w:b/>
                <w:bCs/>
                <w:color w:val="000000"/>
                <w:kern w:val="0"/>
                <w:sz w:val="18"/>
                <w:szCs w:val="18"/>
                <w:lang w:val="en-US" w:eastAsia="zh-CN"/>
              </w:rPr>
              <w:t>30</w:t>
            </w:r>
          </w:p>
        </w:tc>
        <w:tc>
          <w:tcPr>
            <w:tcW w:w="1000" w:type="pct"/>
            <w:shd w:val="clear" w:color="auto" w:fill="99CCFF"/>
            <w:vAlign w:val="center"/>
          </w:tcPr>
          <w:p>
            <w:pPr>
              <w:widowControl/>
              <w:jc w:val="center"/>
              <w:rPr>
                <w:rFonts w:hint="eastAsia" w:cs="宋体" w:asciiTheme="minorEastAsia" w:hAnsiTheme="minorEastAsia" w:eastAsiaTheme="minorEastAsia"/>
                <w:b/>
                <w:bCs/>
                <w:color w:val="000000"/>
                <w:kern w:val="0"/>
                <w:sz w:val="18"/>
                <w:szCs w:val="18"/>
                <w:lang w:val="en-US" w:eastAsia="zh-CN"/>
              </w:rPr>
            </w:pPr>
            <w:r>
              <w:rPr>
                <w:rFonts w:hint="eastAsia" w:cs="宋体" w:asciiTheme="minorEastAsia" w:hAnsiTheme="minorEastAsia"/>
                <w:b/>
                <w:bCs/>
                <w:color w:val="000000"/>
                <w:kern w:val="0"/>
                <w:sz w:val="18"/>
                <w:szCs w:val="18"/>
              </w:rPr>
              <w:t>2022-3-2</w:t>
            </w:r>
            <w:r>
              <w:rPr>
                <w:rFonts w:hint="eastAsia" w:cs="宋体" w:asciiTheme="minorEastAsia" w:hAnsiTheme="minorEastAsia"/>
                <w:b/>
                <w:bCs/>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0" w:type="pct"/>
            <w:vAlign w:val="center"/>
          </w:tcPr>
          <w:p>
            <w:pPr>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湖北（承兑）</w:t>
            </w:r>
          </w:p>
        </w:tc>
        <w:tc>
          <w:tcPr>
            <w:tcW w:w="981"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c>
          <w:tcPr>
            <w:tcW w:w="1019"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c>
          <w:tcPr>
            <w:tcW w:w="1000"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c>
          <w:tcPr>
            <w:tcW w:w="1000"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0" w:type="pct"/>
            <w:vAlign w:val="center"/>
          </w:tcPr>
          <w:p>
            <w:pPr>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贵州（承兑）</w:t>
            </w:r>
          </w:p>
        </w:tc>
        <w:tc>
          <w:tcPr>
            <w:tcW w:w="981"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c>
          <w:tcPr>
            <w:tcW w:w="1019"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c>
          <w:tcPr>
            <w:tcW w:w="1000"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c>
          <w:tcPr>
            <w:tcW w:w="1000"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0" w:type="pct"/>
            <w:vAlign w:val="center"/>
          </w:tcPr>
          <w:p>
            <w:pPr>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四川（现汇）</w:t>
            </w:r>
          </w:p>
        </w:tc>
        <w:tc>
          <w:tcPr>
            <w:tcW w:w="981"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c>
          <w:tcPr>
            <w:tcW w:w="1019"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c>
          <w:tcPr>
            <w:tcW w:w="1000"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c>
          <w:tcPr>
            <w:tcW w:w="1000" w:type="pct"/>
            <w:vAlign w:val="center"/>
          </w:tcPr>
          <w:p>
            <w:pPr>
              <w:widowControl/>
              <w:jc w:val="center"/>
              <w:rPr>
                <w:rFonts w:ascii="宋体" w:hAnsi="宋体" w:cs="宋体"/>
                <w:kern w:val="0"/>
                <w:sz w:val="18"/>
                <w:szCs w:val="18"/>
              </w:rPr>
            </w:pPr>
            <w:r>
              <w:rPr>
                <w:rFonts w:hint="eastAsia" w:ascii="宋体" w:hAnsi="宋体" w:cs="宋体"/>
                <w:kern w:val="0"/>
                <w:sz w:val="18"/>
                <w:szCs w:val="18"/>
              </w:rPr>
              <w:t>35500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0" w:type="pct"/>
            <w:vAlign w:val="center"/>
          </w:tcPr>
          <w:p>
            <w:pPr>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云南（现汇）</w:t>
            </w:r>
          </w:p>
        </w:tc>
        <w:tc>
          <w:tcPr>
            <w:tcW w:w="981" w:type="pct"/>
            <w:vAlign w:val="center"/>
          </w:tcPr>
          <w:p>
            <w:pPr>
              <w:widowControl/>
              <w:jc w:val="center"/>
              <w:rPr>
                <w:rFonts w:ascii="宋体" w:hAnsi="宋体" w:cs="宋体"/>
                <w:kern w:val="0"/>
                <w:sz w:val="18"/>
                <w:szCs w:val="18"/>
              </w:rPr>
            </w:pPr>
            <w:r>
              <w:rPr>
                <w:rFonts w:hint="eastAsia" w:ascii="宋体" w:hAnsi="宋体" w:cs="宋体"/>
                <w:kern w:val="0"/>
                <w:sz w:val="18"/>
                <w:szCs w:val="18"/>
              </w:rPr>
              <w:t>36000</w:t>
            </w:r>
          </w:p>
        </w:tc>
        <w:tc>
          <w:tcPr>
            <w:tcW w:w="1019" w:type="pct"/>
            <w:vAlign w:val="center"/>
          </w:tcPr>
          <w:p>
            <w:pPr>
              <w:widowControl/>
              <w:jc w:val="center"/>
              <w:rPr>
                <w:rFonts w:ascii="宋体" w:hAnsi="宋体" w:cs="宋体"/>
                <w:kern w:val="0"/>
                <w:sz w:val="18"/>
                <w:szCs w:val="18"/>
              </w:rPr>
            </w:pPr>
            <w:r>
              <w:rPr>
                <w:rFonts w:hint="eastAsia" w:ascii="宋体" w:hAnsi="宋体" w:cs="宋体"/>
                <w:kern w:val="0"/>
                <w:sz w:val="18"/>
                <w:szCs w:val="18"/>
              </w:rPr>
              <w:t>36000</w:t>
            </w:r>
          </w:p>
        </w:tc>
        <w:tc>
          <w:tcPr>
            <w:tcW w:w="1000" w:type="pct"/>
            <w:vAlign w:val="center"/>
          </w:tcPr>
          <w:p>
            <w:pPr>
              <w:widowControl/>
              <w:jc w:val="center"/>
              <w:rPr>
                <w:rFonts w:ascii="宋体" w:hAnsi="宋体" w:cs="宋体"/>
                <w:kern w:val="0"/>
                <w:sz w:val="18"/>
                <w:szCs w:val="18"/>
              </w:rPr>
            </w:pPr>
            <w:r>
              <w:rPr>
                <w:rFonts w:hint="eastAsia" w:ascii="宋体" w:hAnsi="宋体" w:cs="宋体"/>
                <w:kern w:val="0"/>
                <w:sz w:val="18"/>
                <w:szCs w:val="18"/>
              </w:rPr>
              <w:t>36000</w:t>
            </w:r>
          </w:p>
        </w:tc>
        <w:tc>
          <w:tcPr>
            <w:tcW w:w="1000" w:type="pct"/>
            <w:vAlign w:val="center"/>
          </w:tcPr>
          <w:p>
            <w:pPr>
              <w:widowControl/>
              <w:jc w:val="center"/>
              <w:rPr>
                <w:rFonts w:ascii="宋体" w:hAnsi="宋体" w:cs="宋体"/>
                <w:kern w:val="0"/>
                <w:sz w:val="18"/>
                <w:szCs w:val="18"/>
              </w:rPr>
            </w:pPr>
            <w:r>
              <w:rPr>
                <w:rFonts w:hint="eastAsia" w:ascii="宋体" w:hAnsi="宋体" w:cs="宋体"/>
                <w:kern w:val="0"/>
                <w:sz w:val="18"/>
                <w:szCs w:val="18"/>
              </w:rPr>
              <w:t>36000</w:t>
            </w:r>
          </w:p>
        </w:tc>
      </w:tr>
    </w:tbl>
    <w:p>
      <w:pPr>
        <w:jc w:val="center"/>
        <w:rPr>
          <w:rFonts w:ascii="宋体" w:hAnsi="宋体"/>
          <w:color w:val="000000"/>
          <w:szCs w:val="21"/>
          <w:shd w:val="clear" w:color="auto" w:fill="FFFFFF"/>
        </w:rPr>
      </w:pPr>
      <w:bookmarkStart w:id="87" w:name="_Toc509578117"/>
      <w:bookmarkStart w:id="88" w:name="_Toc485375040"/>
      <w:bookmarkStart w:id="89" w:name="_Toc509578816"/>
    </w:p>
    <w:p>
      <w:pPr>
        <w:pStyle w:val="3"/>
        <w:rPr>
          <w:sz w:val="32"/>
        </w:rPr>
      </w:pPr>
      <w:bookmarkStart w:id="90" w:name="_Toc97282586"/>
      <w:r>
        <w:rPr>
          <w:sz w:val="32"/>
        </w:rPr>
        <w:t>磷酸</w:t>
      </w:r>
      <w:bookmarkEnd w:id="54"/>
      <w:bookmarkEnd w:id="55"/>
      <w:bookmarkEnd w:id="87"/>
      <w:bookmarkEnd w:id="88"/>
      <w:bookmarkEnd w:id="89"/>
      <w:bookmarkEnd w:id="90"/>
    </w:p>
    <w:p>
      <w:pPr>
        <w:pStyle w:val="24"/>
        <w:ind w:firstLine="360" w:firstLineChars="200"/>
        <w:rPr>
          <w:sz w:val="18"/>
          <w:szCs w:val="18"/>
        </w:rPr>
      </w:pPr>
      <w:bookmarkStart w:id="91" w:name="_Toc212014361"/>
      <w:bookmarkStart w:id="92" w:name="_Toc485375044"/>
      <w:bookmarkStart w:id="93" w:name="_Toc509578819"/>
      <w:bookmarkStart w:id="94" w:name="_Toc211422065"/>
      <w:bookmarkStart w:id="95" w:name="_Toc509578120"/>
      <w:bookmarkStart w:id="96" w:name="_Toc185611027"/>
      <w:bookmarkStart w:id="97" w:name="_Toc212025205"/>
      <w:bookmarkStart w:id="98" w:name="_Toc211422073"/>
      <w:r>
        <w:rPr>
          <w:sz w:val="18"/>
          <w:szCs w:val="18"/>
        </w:rPr>
        <w:t>本周磷酸市场先涨后稳。前期因原料波动较大，加之酸企仍有部分签单暂未交付，价格波动较缓慢。本周黄磷价格稳中有落，酸企观望过后根据采购原料成本调整价格，因成本增加，市场低端价格已难寻觅，主流价格均有所涨幅。虽价格上涨，但高端价格仍然上行乏力，主因下游需求情况偏弱。而导致需求不佳的原因最主要原因是疫情影响了部分地区的运输及终端厂家的开工;其次是临近清明节假期，下游观望情绪增加。同时因为黄磷的波动，酸企采购也十分谨慎，多观望清明节后原料走势。出口方面，华南地区因疫情有所缓解，发运情况较前期略有好转。但堆位仍然紧张，按单发运。湿法净化酸本周主流持稳，局部地区受疫情影响部分需求。价格方面，热法磷酸华东地区 85%工业级净水出厂参考价 11200-11600 元/吨;西南地区 85%工业级热法磷酸出厂参考价 10100-10600 元/吨;广西地区磷酸出厂净水参考价 10400-10800 吨;湿法净化酸华东主流净水送到价为 10200-10300 元/吨，成交一单一议。</w:t>
      </w:r>
    </w:p>
    <w:p>
      <w:pPr>
        <w:pStyle w:val="24"/>
        <w:ind w:firstLine="360" w:firstLineChars="200"/>
        <w:rPr>
          <w:sz w:val="18"/>
          <w:szCs w:val="18"/>
        </w:rPr>
      </w:pPr>
      <w:r>
        <w:rPr>
          <w:sz w:val="18"/>
          <w:szCs w:val="18"/>
        </w:rPr>
        <w:t>后市预测：预计短期内磷酸市场持续观望，价格窄幅整理。原料黄磷短时看跌，磷酸市场成本面有进一步走弱可能，但临近清明假期，磷酸企业多持观望心态，生产多消耗原料库存为主，采购操作积极性不高，市场价格或暂稳整理。建议持续关注原料价格波动对成本面的影响以及下游采购情况。</w:t>
      </w:r>
    </w:p>
    <w:p>
      <w:pPr>
        <w:pStyle w:val="24"/>
        <w:ind w:firstLine="360" w:firstLineChars="200"/>
        <w:rPr>
          <w:sz w:val="18"/>
          <w:szCs w:val="18"/>
        </w:rPr>
      </w:pPr>
    </w:p>
    <w:p>
      <w:pPr>
        <w:pStyle w:val="24"/>
        <w:rPr>
          <w:sz w:val="18"/>
          <w:szCs w:val="18"/>
        </w:rPr>
      </w:pPr>
    </w:p>
    <w:p>
      <w:pPr>
        <w:pStyle w:val="3"/>
        <w:rPr>
          <w:bCs w:val="0"/>
          <w:sz w:val="32"/>
        </w:rPr>
      </w:pPr>
      <w:bookmarkStart w:id="99" w:name="_Toc97282587"/>
      <w:r>
        <w:rPr>
          <w:rFonts w:hint="eastAsia"/>
          <w:bCs w:val="0"/>
          <w:sz w:val="32"/>
        </w:rPr>
        <w:t>磷酸</w:t>
      </w:r>
      <w:bookmarkEnd w:id="99"/>
    </w:p>
    <w:bookmarkEnd w:id="91"/>
    <w:bookmarkEnd w:id="92"/>
    <w:bookmarkEnd w:id="93"/>
    <w:bookmarkEnd w:id="94"/>
    <w:bookmarkEnd w:id="95"/>
    <w:p>
      <w:pPr>
        <w:pStyle w:val="24"/>
        <w:ind w:firstLine="360" w:firstLineChars="200"/>
        <w:rPr>
          <w:rFonts w:hint="eastAsia" w:ascii="宋体" w:hAnsi="宋体"/>
          <w:color w:val="000000"/>
          <w:sz w:val="18"/>
          <w:szCs w:val="18"/>
        </w:rPr>
      </w:pPr>
      <w:bookmarkStart w:id="100" w:name="_Toc485375045"/>
      <w:bookmarkStart w:id="101" w:name="_Toc509578121"/>
      <w:bookmarkStart w:id="102" w:name="_Toc509578820"/>
      <w:bookmarkStart w:id="103" w:name="_Toc211422066"/>
      <w:bookmarkStart w:id="104" w:name="_Toc212014362"/>
      <w:bookmarkStart w:id="105" w:name="_Toc97282588"/>
      <w:r>
        <w:rPr>
          <w:rFonts w:ascii="宋体" w:hAnsi="宋体"/>
          <w:color w:val="000000"/>
          <w:sz w:val="18"/>
          <w:szCs w:val="18"/>
        </w:rPr>
        <w:t>本周暂无国际</w:t>
      </w:r>
      <w:r>
        <w:rPr>
          <w:rFonts w:hint="eastAsia" w:ascii="宋体" w:hAnsi="宋体"/>
          <w:color w:val="000000"/>
          <w:sz w:val="18"/>
          <w:szCs w:val="18"/>
        </w:rPr>
        <w:t>磷酸</w:t>
      </w:r>
      <w:r>
        <w:rPr>
          <w:rFonts w:ascii="宋体" w:hAnsi="宋体"/>
          <w:color w:val="000000"/>
          <w:sz w:val="18"/>
          <w:szCs w:val="18"/>
        </w:rPr>
        <w:t>动态信息。</w:t>
      </w:r>
    </w:p>
    <w:p>
      <w:pPr>
        <w:pStyle w:val="3"/>
        <w:rPr>
          <w:rFonts w:hint="eastAsia"/>
          <w:sz w:val="32"/>
        </w:rPr>
      </w:pPr>
      <w:r>
        <w:rPr>
          <w:rFonts w:hint="eastAsia"/>
          <w:sz w:val="32"/>
        </w:rPr>
        <w:t>国内：磷酸价格指数</w:t>
      </w:r>
      <w:bookmarkEnd w:id="100"/>
      <w:bookmarkEnd w:id="101"/>
      <w:bookmarkEnd w:id="102"/>
      <w:bookmarkEnd w:id="103"/>
      <w:bookmarkEnd w:id="104"/>
      <w:bookmarkEnd w:id="105"/>
    </w:p>
    <w:p>
      <w:pPr>
        <w:pStyle w:val="3"/>
      </w:pPr>
      <w:r>
        <w:rPr>
          <w:rFonts w:hint="eastAsia"/>
          <w:sz w:val="32"/>
          <w:lang w:val="en-US" w:eastAsia="zh-CN"/>
        </w:rPr>
        <w:t xml:space="preserve">               </w:t>
      </w:r>
      <w:r>
        <w:drawing>
          <wp:inline distT="0" distB="0" distL="114300" distR="114300">
            <wp:extent cx="4095750" cy="2857500"/>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4095750" cy="2857500"/>
                    </a:xfrm>
                    <a:prstGeom prst="rect">
                      <a:avLst/>
                    </a:prstGeom>
                    <a:noFill/>
                    <a:ln>
                      <a:noFill/>
                    </a:ln>
                  </pic:spPr>
                </pic:pic>
              </a:graphicData>
            </a:graphic>
          </wp:inline>
        </w:drawing>
      </w:r>
    </w:p>
    <w:p>
      <w:pPr>
        <w:pStyle w:val="3"/>
        <w:rPr>
          <w:rFonts w:hint="eastAsia"/>
          <w:sz w:val="32"/>
        </w:rPr>
      </w:pPr>
      <w:bookmarkStart w:id="106" w:name="_Toc82778800"/>
      <w:bookmarkStart w:id="107" w:name="_Toc97282589"/>
      <w:r>
        <w:rPr>
          <w:rFonts w:hint="eastAsia"/>
          <w:sz w:val="32"/>
        </w:rPr>
        <w:t>磷酸国际：磷酸价格指数</w:t>
      </w:r>
      <w:bookmarkEnd w:id="106"/>
      <w:bookmarkEnd w:id="107"/>
    </w:p>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7"/>
        <w:gridCol w:w="2289"/>
        <w:gridCol w:w="2257"/>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43" w:type="pct"/>
            <w:shd w:val="clear" w:color="auto" w:fill="B6DDE8" w:themeFill="accent5" w:themeFillTint="66"/>
            <w:vAlign w:val="center"/>
          </w:tcPr>
          <w:p>
            <w:pPr>
              <w:widowControl/>
              <w:jc w:val="center"/>
              <w:rPr>
                <w:rFonts w:cs="宋体" w:asciiTheme="minorEastAsia" w:hAnsiTheme="minorEastAsia"/>
                <w:b/>
                <w:bCs/>
                <w:color w:val="000000"/>
                <w:kern w:val="0"/>
                <w:sz w:val="18"/>
                <w:szCs w:val="18"/>
              </w:rPr>
            </w:pPr>
            <w:r>
              <w:rPr>
                <w:rFonts w:cs="宋体" w:asciiTheme="minorEastAsia" w:hAnsiTheme="minorEastAsia"/>
                <w:b/>
                <w:bCs/>
                <w:color w:val="000000"/>
                <w:kern w:val="0"/>
                <w:sz w:val="18"/>
                <w:szCs w:val="18"/>
              </w:rPr>
              <w:t>产品</w:t>
            </w:r>
          </w:p>
        </w:tc>
        <w:tc>
          <w:tcPr>
            <w:tcW w:w="1014" w:type="pct"/>
            <w:shd w:val="clear" w:color="auto" w:fill="B6DDE8" w:themeFill="accent5" w:themeFillTint="66"/>
            <w:vAlign w:val="center"/>
          </w:tcPr>
          <w:p>
            <w:pPr>
              <w:widowControl/>
              <w:jc w:val="center"/>
              <w:rPr>
                <w:rFonts w:cs="宋体" w:asciiTheme="minorEastAsia" w:hAnsiTheme="minorEastAsia"/>
                <w:b/>
                <w:bCs/>
                <w:color w:val="000000"/>
                <w:kern w:val="0"/>
                <w:sz w:val="18"/>
                <w:szCs w:val="18"/>
              </w:rPr>
            </w:pPr>
            <w:r>
              <w:rPr>
                <w:rFonts w:cs="宋体" w:asciiTheme="minorEastAsia" w:hAnsiTheme="minorEastAsia"/>
                <w:b/>
                <w:bCs/>
                <w:color w:val="000000"/>
                <w:kern w:val="0"/>
                <w:sz w:val="18"/>
                <w:szCs w:val="18"/>
              </w:rPr>
              <w:t>地区</w:t>
            </w:r>
          </w:p>
        </w:tc>
        <w:tc>
          <w:tcPr>
            <w:tcW w:w="1000" w:type="pct"/>
            <w:shd w:val="clear" w:color="auto" w:fill="B6DDE8" w:themeFill="accent5" w:themeFillTint="66"/>
            <w:vAlign w:val="center"/>
          </w:tcPr>
          <w:p>
            <w:pPr>
              <w:widowControl/>
              <w:jc w:val="center"/>
              <w:rPr>
                <w:rFonts w:cs="宋体" w:asciiTheme="minorEastAsia" w:hAnsiTheme="minorEastAsia"/>
                <w:b/>
                <w:bCs/>
                <w:color w:val="000000"/>
                <w:kern w:val="0"/>
                <w:sz w:val="18"/>
                <w:szCs w:val="18"/>
              </w:rPr>
            </w:pPr>
            <w:r>
              <w:rPr>
                <w:rFonts w:cs="宋体" w:asciiTheme="minorEastAsia" w:hAnsiTheme="minorEastAsia"/>
                <w:b/>
                <w:bCs/>
                <w:color w:val="000000"/>
                <w:kern w:val="0"/>
                <w:sz w:val="18"/>
                <w:szCs w:val="18"/>
              </w:rPr>
              <w:t>2021年第</w:t>
            </w:r>
            <w:r>
              <w:rPr>
                <w:rFonts w:hint="eastAsia" w:cs="宋体" w:asciiTheme="minorEastAsia" w:hAnsiTheme="minorEastAsia"/>
                <w:b/>
                <w:bCs/>
                <w:color w:val="000000"/>
                <w:kern w:val="0"/>
                <w:sz w:val="18"/>
                <w:szCs w:val="18"/>
              </w:rPr>
              <w:t>三</w:t>
            </w:r>
            <w:r>
              <w:rPr>
                <w:rFonts w:cs="宋体" w:asciiTheme="minorEastAsia" w:hAnsiTheme="minorEastAsia"/>
                <w:b/>
                <w:bCs/>
                <w:color w:val="000000"/>
                <w:kern w:val="0"/>
                <w:sz w:val="18"/>
                <w:szCs w:val="18"/>
              </w:rPr>
              <w:t>季度</w:t>
            </w:r>
          </w:p>
        </w:tc>
        <w:tc>
          <w:tcPr>
            <w:tcW w:w="771" w:type="pct"/>
            <w:shd w:val="clear" w:color="auto" w:fill="B6DDE8" w:themeFill="accent5" w:themeFillTint="66"/>
            <w:vAlign w:val="center"/>
          </w:tcPr>
          <w:p>
            <w:pPr>
              <w:widowControl/>
              <w:jc w:val="center"/>
              <w:rPr>
                <w:rFonts w:cs="宋体" w:asciiTheme="minorEastAsia" w:hAnsiTheme="minorEastAsia"/>
                <w:b/>
                <w:bCs/>
                <w:color w:val="000000"/>
                <w:kern w:val="0"/>
                <w:sz w:val="18"/>
                <w:szCs w:val="18"/>
              </w:rPr>
            </w:pPr>
            <w:r>
              <w:rPr>
                <w:rFonts w:cs="宋体" w:asciiTheme="minorEastAsia" w:hAnsiTheme="minorEastAsia"/>
                <w:b/>
                <w:bCs/>
                <w:color w:val="000000"/>
                <w:kern w:val="0"/>
                <w:sz w:val="18"/>
                <w:szCs w:val="18"/>
              </w:rPr>
              <w:t>2021年第</w:t>
            </w:r>
            <w:r>
              <w:rPr>
                <w:rFonts w:hint="eastAsia" w:cs="宋体" w:asciiTheme="minorEastAsia" w:hAnsiTheme="minorEastAsia"/>
                <w:b/>
                <w:bCs/>
                <w:color w:val="000000"/>
                <w:kern w:val="0"/>
                <w:sz w:val="18"/>
                <w:szCs w:val="18"/>
              </w:rPr>
              <w:t>四</w:t>
            </w:r>
            <w:r>
              <w:rPr>
                <w:rFonts w:cs="宋体" w:asciiTheme="minorEastAsia" w:hAnsiTheme="minorEastAsia"/>
                <w:b/>
                <w:bCs/>
                <w:color w:val="000000"/>
                <w:kern w:val="0"/>
                <w:sz w:val="18"/>
                <w:szCs w:val="18"/>
              </w:rPr>
              <w:t>季度</w:t>
            </w:r>
          </w:p>
        </w:tc>
        <w:tc>
          <w:tcPr>
            <w:tcW w:w="771" w:type="pct"/>
            <w:shd w:val="clear" w:color="auto" w:fill="B6DDE8" w:themeFill="accent5" w:themeFillTint="66"/>
            <w:vAlign w:val="center"/>
          </w:tcPr>
          <w:p>
            <w:pPr>
              <w:widowControl/>
              <w:jc w:val="center"/>
              <w:rPr>
                <w:rFonts w:cs="宋体" w:asciiTheme="minorEastAsia" w:hAnsiTheme="minorEastAsia"/>
                <w:b/>
                <w:bCs/>
                <w:color w:val="000000"/>
                <w:kern w:val="0"/>
                <w:sz w:val="18"/>
                <w:szCs w:val="18"/>
              </w:rPr>
            </w:pPr>
            <w:r>
              <w:rPr>
                <w:rFonts w:cs="宋体" w:asciiTheme="minorEastAsia" w:hAnsiTheme="minorEastAsia"/>
                <w:b/>
                <w:bCs/>
                <w:color w:val="000000"/>
                <w:kern w:val="0"/>
                <w:sz w:val="18"/>
                <w:szCs w:val="18"/>
              </w:rPr>
              <w:t>涨跌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43" w:type="pct"/>
            <w:shd w:val="clear" w:color="auto" w:fill="FFFFFF" w:themeFill="background1"/>
            <w:vAlign w:val="center"/>
          </w:tcPr>
          <w:p>
            <w:pPr>
              <w:widowControl/>
              <w:jc w:val="center"/>
              <w:rPr>
                <w:rFonts w:ascii="宋体" w:hAnsi="宋体" w:cs="宋体"/>
                <w:kern w:val="0"/>
                <w:sz w:val="18"/>
                <w:szCs w:val="18"/>
              </w:rPr>
            </w:pPr>
            <w:r>
              <w:rPr>
                <w:rFonts w:ascii="宋体" w:hAnsi="宋体" w:cs="宋体"/>
                <w:kern w:val="0"/>
                <w:sz w:val="18"/>
                <w:szCs w:val="18"/>
              </w:rPr>
              <w:t>磷酸</w:t>
            </w:r>
          </w:p>
        </w:tc>
        <w:tc>
          <w:tcPr>
            <w:tcW w:w="1014" w:type="pct"/>
            <w:shd w:val="clear" w:color="auto" w:fill="FFFFFF" w:themeFill="background1"/>
            <w:vAlign w:val="center"/>
          </w:tcPr>
          <w:p>
            <w:pPr>
              <w:widowControl/>
              <w:jc w:val="center"/>
              <w:rPr>
                <w:rFonts w:ascii="宋体" w:hAnsi="宋体" w:cs="宋体"/>
                <w:kern w:val="0"/>
                <w:sz w:val="18"/>
                <w:szCs w:val="18"/>
              </w:rPr>
            </w:pPr>
            <w:r>
              <w:rPr>
                <w:rFonts w:ascii="宋体" w:hAnsi="宋体" w:cs="宋体"/>
                <w:kern w:val="0"/>
                <w:sz w:val="18"/>
                <w:szCs w:val="18"/>
              </w:rPr>
              <w:t>CFR印度</w:t>
            </w:r>
          </w:p>
        </w:tc>
        <w:tc>
          <w:tcPr>
            <w:tcW w:w="1000" w:type="pct"/>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1330</w:t>
            </w:r>
          </w:p>
        </w:tc>
        <w:tc>
          <w:tcPr>
            <w:tcW w:w="771" w:type="pct"/>
            <w:shd w:val="clear" w:color="auto" w:fill="FFFFFF" w:themeFill="background1"/>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530</w:t>
            </w:r>
          </w:p>
        </w:tc>
        <w:tc>
          <w:tcPr>
            <w:tcW w:w="771" w:type="pct"/>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r>
    </w:tbl>
    <w:p/>
    <w:p>
      <w:pPr>
        <w:jc w:val="center"/>
      </w:pPr>
    </w:p>
    <w:p>
      <w:pPr>
        <w:pStyle w:val="3"/>
        <w:rPr>
          <w:sz w:val="32"/>
        </w:rPr>
      </w:pPr>
      <w:bookmarkStart w:id="108" w:name="_Toc485375046"/>
      <w:bookmarkStart w:id="109" w:name="_Toc509578122"/>
      <w:bookmarkStart w:id="110" w:name="_Toc509578821"/>
      <w:bookmarkStart w:id="111" w:name="_Toc212014363"/>
      <w:bookmarkStart w:id="112" w:name="_Toc211422067"/>
      <w:bookmarkStart w:id="113" w:name="_Toc97282590"/>
      <w:r>
        <w:rPr>
          <w:rFonts w:hint="eastAsia"/>
          <w:sz w:val="32"/>
        </w:rPr>
        <w:t>本周部分企业磷酸出厂价格周汇总</w:t>
      </w:r>
      <w:bookmarkEnd w:id="108"/>
      <w:bookmarkEnd w:id="109"/>
      <w:bookmarkEnd w:id="110"/>
      <w:bookmarkEnd w:id="111"/>
      <w:bookmarkEnd w:id="112"/>
      <w:bookmarkEnd w:id="113"/>
      <w:bookmarkStart w:id="114" w:name="_Toc185611024"/>
    </w:p>
    <w:p>
      <w:r>
        <w:rPr>
          <w:rFonts w:hint="eastAsia"/>
        </w:rPr>
        <w:t>单位：（元/吨）</w:t>
      </w:r>
    </w:p>
    <w:p/>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2365"/>
        <w:gridCol w:w="1361"/>
        <w:gridCol w:w="1402"/>
        <w:gridCol w:w="2322"/>
        <w:gridCol w:w="123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shd w:val="clear" w:color="auto" w:fill="99CC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省市</w:t>
            </w:r>
          </w:p>
        </w:tc>
        <w:tc>
          <w:tcPr>
            <w:tcW w:w="1048" w:type="pct"/>
            <w:shd w:val="clear" w:color="auto" w:fill="99CC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企业</w:t>
            </w:r>
          </w:p>
        </w:tc>
        <w:tc>
          <w:tcPr>
            <w:tcW w:w="603" w:type="pct"/>
            <w:shd w:val="clear" w:color="auto" w:fill="99CC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含量</w:t>
            </w:r>
          </w:p>
        </w:tc>
        <w:tc>
          <w:tcPr>
            <w:tcW w:w="621" w:type="pct"/>
            <w:shd w:val="clear" w:color="auto" w:fill="99CC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类型</w:t>
            </w:r>
          </w:p>
        </w:tc>
        <w:tc>
          <w:tcPr>
            <w:tcW w:w="1029" w:type="pct"/>
            <w:shd w:val="clear" w:color="auto" w:fill="99CC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备注</w:t>
            </w:r>
          </w:p>
        </w:tc>
        <w:tc>
          <w:tcPr>
            <w:tcW w:w="547" w:type="pct"/>
            <w:shd w:val="clear" w:color="auto" w:fill="99CCFF"/>
            <w:vAlign w:val="center"/>
          </w:tcPr>
          <w:p>
            <w:pPr>
              <w:jc w:val="center"/>
              <w:rPr>
                <w:rFonts w:hint="eastAsia" w:cs="宋体" w:asciiTheme="minorEastAsia" w:hAnsiTheme="minorEastAsia" w:eastAsiaTheme="minorEastAsia"/>
                <w:b/>
                <w:bCs/>
                <w:color w:val="000000"/>
                <w:sz w:val="18"/>
                <w:szCs w:val="18"/>
                <w:lang w:val="en-US" w:eastAsia="zh-CN"/>
              </w:rPr>
            </w:pPr>
            <w:r>
              <w:rPr>
                <w:rFonts w:hint="eastAsia" w:asciiTheme="minorEastAsia" w:hAnsiTheme="minorEastAsia"/>
                <w:b/>
                <w:bCs/>
                <w:color w:val="000000"/>
                <w:sz w:val="18"/>
                <w:szCs w:val="18"/>
              </w:rPr>
              <w:t>2022-</w:t>
            </w:r>
            <w:r>
              <w:rPr>
                <w:rFonts w:hint="eastAsia" w:asciiTheme="minorEastAsia" w:hAnsiTheme="minorEastAsia"/>
                <w:b/>
                <w:bCs/>
                <w:color w:val="000000"/>
                <w:sz w:val="18"/>
                <w:szCs w:val="18"/>
                <w:lang w:val="en-US" w:eastAsia="zh-CN"/>
              </w:rPr>
              <w:t>4</w:t>
            </w:r>
            <w:r>
              <w:rPr>
                <w:rFonts w:hint="eastAsia" w:asciiTheme="minorEastAsia" w:hAnsiTheme="minorEastAsia"/>
                <w:b/>
                <w:bCs/>
                <w:color w:val="000000"/>
                <w:sz w:val="18"/>
                <w:szCs w:val="18"/>
              </w:rPr>
              <w:t>-</w:t>
            </w:r>
            <w:r>
              <w:rPr>
                <w:rFonts w:hint="eastAsia" w:asciiTheme="minorEastAsia" w:hAnsiTheme="minorEastAsia"/>
                <w:b/>
                <w:bCs/>
                <w:color w:val="000000"/>
                <w:sz w:val="18"/>
                <w:szCs w:val="18"/>
                <w:lang w:val="en-US" w:eastAsia="zh-CN"/>
              </w:rPr>
              <w:t>1</w:t>
            </w:r>
          </w:p>
        </w:tc>
        <w:tc>
          <w:tcPr>
            <w:tcW w:w="651" w:type="pct"/>
            <w:shd w:val="clear" w:color="auto" w:fill="99CCFF"/>
            <w:vAlign w:val="center"/>
          </w:tcPr>
          <w:p>
            <w:pPr>
              <w:jc w:val="center"/>
              <w:rPr>
                <w:rFonts w:hint="default" w:cs="宋体" w:asciiTheme="minorEastAsia" w:hAnsiTheme="minorEastAsia" w:eastAsiaTheme="minorEastAsia"/>
                <w:b/>
                <w:bCs/>
                <w:color w:val="000000"/>
                <w:sz w:val="18"/>
                <w:szCs w:val="18"/>
                <w:lang w:val="en-US" w:eastAsia="zh-CN"/>
              </w:rPr>
            </w:pPr>
            <w:r>
              <w:rPr>
                <w:rFonts w:hint="eastAsia" w:asciiTheme="minorEastAsia" w:hAnsiTheme="minorEastAsia"/>
                <w:b/>
                <w:bCs/>
                <w:color w:val="000000"/>
                <w:sz w:val="18"/>
                <w:szCs w:val="18"/>
              </w:rPr>
              <w:t>2022-3-</w:t>
            </w:r>
            <w:r>
              <w:rPr>
                <w:rFonts w:hint="eastAsia" w:asciiTheme="minorEastAsia" w:hAnsiTheme="minorEastAsia"/>
                <w:b/>
                <w:bCs/>
                <w:color w:val="000000"/>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w:t>
            </w: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澄星集团</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11500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11600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泰兴南磷公司</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11500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11600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泰兴金缘</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博汉工贸</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苏州化原化工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湿法净化</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w:t>
            </w:r>
            <w:r>
              <w:rPr>
                <w:rFonts w:hint="eastAsia" w:asciiTheme="minorEastAsia" w:hAnsiTheme="minorEastAsia"/>
                <w:color w:val="000000"/>
                <w:sz w:val="18"/>
                <w:szCs w:val="18"/>
                <w:lang w:val="en-US" w:eastAsia="zh-CN"/>
              </w:rPr>
              <w:t>3</w:t>
            </w:r>
            <w:r>
              <w:rPr>
                <w:rFonts w:hint="eastAsia" w:asciiTheme="minorEastAsia" w:hAnsiTheme="minorEastAsia"/>
                <w:color w:val="000000"/>
                <w:sz w:val="18"/>
                <w:szCs w:val="18"/>
              </w:rPr>
              <w:t>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常州奇旺化学</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常州李氏越洋化工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连云港德邦精细化工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连云港市黔锦化工厂</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江苏裕元实业</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江西</w:t>
            </w: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九江三本化工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江西樟树赣江</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樟树鼎鑫实业</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山东</w:t>
            </w: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青州鑫胜化工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青州鑫丰化工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青州恒明化工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13000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青州振华</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广东</w:t>
            </w: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广州东泰</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包装</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湿法净化</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包装</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广州市臻诚化工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云南工业级</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包装</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贵州工业级</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包装</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tcBorders>
              <w:bottom w:val="single" w:color="auto" w:sz="4" w:space="0"/>
            </w:tcBorders>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广州市日可威化工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广西食品级</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13800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p>
          <w:p>
            <w:pPr>
              <w:widowControl/>
              <w:jc w:val="center"/>
              <w:rPr>
                <w:rFonts w:cs="宋体" w:asciiTheme="minorEastAsia" w:hAnsiTheme="minorEastAsia"/>
                <w:color w:val="000000"/>
                <w:kern w:val="0"/>
                <w:sz w:val="18"/>
                <w:szCs w:val="18"/>
              </w:rPr>
            </w:pP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广西</w:t>
            </w:r>
          </w:p>
          <w:p>
            <w:pPr>
              <w:widowControl/>
              <w:jc w:val="center"/>
              <w:rPr>
                <w:rFonts w:cs="宋体" w:asciiTheme="minorEastAsia" w:hAnsiTheme="minorEastAsia"/>
                <w:color w:val="000000"/>
                <w:kern w:val="0"/>
                <w:sz w:val="18"/>
                <w:szCs w:val="18"/>
              </w:rPr>
            </w:pPr>
          </w:p>
          <w:p>
            <w:pPr>
              <w:widowControl/>
              <w:jc w:val="center"/>
              <w:rPr>
                <w:rFonts w:cs="宋体" w:asciiTheme="minorEastAsia" w:hAnsiTheme="minorEastAsia"/>
                <w:color w:val="000000"/>
                <w:kern w:val="0"/>
                <w:sz w:val="18"/>
                <w:szCs w:val="18"/>
              </w:rPr>
            </w:pPr>
          </w:p>
          <w:p>
            <w:pPr>
              <w:widowControl/>
              <w:jc w:val="center"/>
              <w:rPr>
                <w:rFonts w:cs="宋体" w:asciiTheme="minorEastAsia" w:hAnsiTheme="minorEastAsia"/>
                <w:color w:val="000000"/>
                <w:kern w:val="0"/>
                <w:sz w:val="18"/>
                <w:szCs w:val="18"/>
              </w:rPr>
            </w:pPr>
          </w:p>
        </w:tc>
        <w:tc>
          <w:tcPr>
            <w:tcW w:w="1048" w:type="pct"/>
            <w:vMerge w:val="restart"/>
            <w:tcBorders>
              <w:lef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明利集团</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p>
        </w:tc>
        <w:tc>
          <w:tcPr>
            <w:tcW w:w="1048" w:type="pct"/>
            <w:vMerge w:val="continue"/>
            <w:tcBorders>
              <w:left w:val="single" w:color="auto" w:sz="4" w:space="0"/>
            </w:tcBorders>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p>
        </w:tc>
        <w:tc>
          <w:tcPr>
            <w:tcW w:w="1048" w:type="pct"/>
            <w:tcBorders>
              <w:left w:val="single" w:color="auto" w:sz="4" w:space="0"/>
              <w:bottom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广西越洋化工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港口FOB35KG包装桶</w:t>
            </w:r>
          </w:p>
        </w:tc>
        <w:tc>
          <w:tcPr>
            <w:tcW w:w="547" w:type="pct"/>
            <w:vAlign w:val="center"/>
          </w:tcPr>
          <w:p>
            <w:pPr>
              <w:jc w:val="center"/>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18</w:t>
            </w:r>
            <w:r>
              <w:rPr>
                <w:rFonts w:hint="eastAsia" w:asciiTheme="minorEastAsia" w:hAnsiTheme="minorEastAsia"/>
                <w:color w:val="000000"/>
                <w:sz w:val="18"/>
                <w:szCs w:val="18"/>
                <w:lang w:val="en-US" w:eastAsia="zh-CN"/>
              </w:rPr>
              <w:t>35</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p>
        </w:tc>
        <w:tc>
          <w:tcPr>
            <w:tcW w:w="10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广西志诚化工</w:t>
            </w:r>
          </w:p>
        </w:tc>
        <w:tc>
          <w:tcPr>
            <w:tcW w:w="603" w:type="pct"/>
            <w:tcBorders>
              <w:lef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港口FOB</w:t>
            </w:r>
          </w:p>
        </w:tc>
        <w:tc>
          <w:tcPr>
            <w:tcW w:w="547" w:type="pct"/>
            <w:vAlign w:val="center"/>
          </w:tcPr>
          <w:p>
            <w:pPr>
              <w:jc w:val="center"/>
              <w:rPr>
                <w:rFonts w:hint="eastAsia"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182</w:t>
            </w:r>
            <w:r>
              <w:rPr>
                <w:rFonts w:hint="eastAsia" w:asciiTheme="minorEastAsia" w:hAnsiTheme="minorEastAsia"/>
                <w:color w:val="000000"/>
                <w:sz w:val="18"/>
                <w:szCs w:val="18"/>
                <w:lang w:val="en-US" w:eastAsia="zh-CN"/>
              </w:rPr>
              <w:t>8</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p>
        </w:tc>
        <w:tc>
          <w:tcPr>
            <w:tcW w:w="10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p>
        </w:tc>
        <w:tc>
          <w:tcPr>
            <w:tcW w:w="603" w:type="pct"/>
            <w:tcBorders>
              <w:lef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p>
        </w:tc>
        <w:tc>
          <w:tcPr>
            <w:tcW w:w="1048" w:type="pct"/>
            <w:tcBorders>
              <w:top w:val="single" w:color="auto" w:sz="4" w:space="0"/>
              <w:lef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防城港多麟化工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FOB防城港35KG包装桶</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p>
        </w:tc>
        <w:tc>
          <w:tcPr>
            <w:tcW w:w="1048" w:type="pct"/>
            <w:tcBorders>
              <w:lef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广西荣德化工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港口FOB</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tcBorders>
              <w:top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河南</w:t>
            </w: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武陟县东兴化工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河南新乡华幸化工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河南巩义新星磷化</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湖北</w:t>
            </w: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武汉南轻科技</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70%</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兴发集团</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武汉无机盐化工厂</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宜昌楚原</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湖北三宁化工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湿法酸</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9</w:t>
            </w:r>
            <w:r>
              <w:rPr>
                <w:rFonts w:hint="eastAsia" w:asciiTheme="minorEastAsia" w:hAnsiTheme="minorEastAsia"/>
                <w:color w:val="000000"/>
                <w:sz w:val="18"/>
                <w:szCs w:val="18"/>
                <w:lang w:val="en-US" w:eastAsia="zh-CN"/>
              </w:rPr>
              <w:t>50</w:t>
            </w:r>
            <w:r>
              <w:rPr>
                <w:rFonts w:hint="eastAsia" w:asciiTheme="minorEastAsia" w:hAnsiTheme="minorEastAsia"/>
                <w:color w:val="000000"/>
                <w:sz w:val="18"/>
                <w:szCs w:val="18"/>
              </w:rPr>
              <w:t>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9350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湖南</w:t>
            </w: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中天磷酸盐化工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贵州</w:t>
            </w: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瓮福集团</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四川</w:t>
            </w: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九河化工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安达农森</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净水出厂价</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w:t>
            </w:r>
            <w:r>
              <w:rPr>
                <w:rFonts w:hint="eastAsia" w:asciiTheme="minorEastAsia" w:hAnsiTheme="minorEastAsia"/>
                <w:color w:val="000000"/>
                <w:sz w:val="18"/>
                <w:szCs w:val="18"/>
                <w:lang w:val="en-US" w:eastAsia="zh-CN"/>
              </w:rPr>
              <w:t>1</w:t>
            </w:r>
            <w:r>
              <w:rPr>
                <w:rFonts w:hint="eastAsia" w:asciiTheme="minorEastAsia" w:hAnsiTheme="minorEastAsia"/>
                <w:color w:val="000000"/>
                <w:sz w:val="18"/>
                <w:szCs w:val="18"/>
              </w:rPr>
              <w:t>000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启明星</w:t>
            </w:r>
          </w:p>
        </w:tc>
        <w:tc>
          <w:tcPr>
            <w:tcW w:w="603"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10500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Merge w:val="continue"/>
            <w:vAlign w:val="center"/>
          </w:tcPr>
          <w:p>
            <w:pPr>
              <w:widowControl/>
              <w:jc w:val="left"/>
              <w:rPr>
                <w:rFonts w:cs="宋体" w:asciiTheme="minorEastAsia" w:hAnsiTheme="minorEastAsia"/>
                <w:color w:val="000000"/>
                <w:kern w:val="0"/>
                <w:sz w:val="18"/>
                <w:szCs w:val="18"/>
              </w:rPr>
            </w:pP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泰来化工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圣地亚</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FOB防城港</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1830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胜丰磷化工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四川兴百盛化工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什邡康龙化工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什邡岐山化工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什邡跃成化工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什邡华蓉科技</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w:t>
            </w:r>
            <w:r>
              <w:rPr>
                <w:rFonts w:hint="eastAsia" w:asciiTheme="minorEastAsia" w:hAnsiTheme="minorEastAsia"/>
                <w:color w:val="000000"/>
                <w:sz w:val="18"/>
                <w:szCs w:val="18"/>
                <w:lang w:val="en-US" w:eastAsia="zh-CN"/>
              </w:rPr>
              <w:t>4</w:t>
            </w:r>
            <w:r>
              <w:rPr>
                <w:rFonts w:hint="eastAsia" w:asciiTheme="minorEastAsia" w:hAnsiTheme="minorEastAsia"/>
                <w:color w:val="000000"/>
                <w:sz w:val="18"/>
                <w:szCs w:val="18"/>
              </w:rPr>
              <w:t>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四川金石化工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四川箭滩化工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w:t>
            </w: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江磷集团</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FOB防城港</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南磷集团</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8700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FOB防城港</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8600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澄江华业公司</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江川安福化工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昆明泛化经贸</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1880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云南五矿新化</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restar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云南南滇化工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Merge w:val="continue"/>
            <w:vAlign w:val="center"/>
          </w:tcPr>
          <w:p>
            <w:pPr>
              <w:widowControl/>
              <w:jc w:val="left"/>
              <w:rPr>
                <w:rFonts w:cs="宋体" w:asciiTheme="minorEastAsia" w:hAnsiTheme="minorEastAsia"/>
                <w:color w:val="000000"/>
                <w:kern w:val="0"/>
                <w:sz w:val="18"/>
                <w:szCs w:val="18"/>
              </w:rPr>
            </w:pP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食品</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1" w:type="pct"/>
            <w:vMerge w:val="continue"/>
            <w:vAlign w:val="center"/>
          </w:tcPr>
          <w:p>
            <w:pPr>
              <w:widowControl/>
              <w:jc w:val="left"/>
              <w:rPr>
                <w:rFonts w:cs="宋体" w:asciiTheme="minorEastAsia" w:hAnsiTheme="minorEastAsia"/>
                <w:color w:val="000000"/>
                <w:kern w:val="0"/>
                <w:sz w:val="18"/>
                <w:szCs w:val="18"/>
              </w:rPr>
            </w:pPr>
          </w:p>
        </w:tc>
        <w:tc>
          <w:tcPr>
            <w:tcW w:w="1048"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江川瑞星化工</w:t>
            </w:r>
          </w:p>
        </w:tc>
        <w:tc>
          <w:tcPr>
            <w:tcW w:w="603"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621"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w:t>
            </w:r>
          </w:p>
        </w:tc>
        <w:tc>
          <w:tcPr>
            <w:tcW w:w="1029" w:type="pct"/>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净水</w:t>
            </w:r>
          </w:p>
        </w:tc>
        <w:tc>
          <w:tcPr>
            <w:tcW w:w="547" w:type="pct"/>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46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bl>
    <w:p>
      <w:pPr>
        <w:rPr>
          <w:color w:val="000000"/>
        </w:rPr>
      </w:pPr>
    </w:p>
    <w:p>
      <w:pPr>
        <w:rPr>
          <w:color w:val="000000"/>
        </w:rPr>
      </w:pPr>
    </w:p>
    <w:p>
      <w:pPr>
        <w:pStyle w:val="3"/>
        <w:rPr>
          <w:sz w:val="32"/>
        </w:rPr>
      </w:pPr>
      <w:bookmarkStart w:id="115" w:name="_Toc509578123"/>
      <w:bookmarkStart w:id="116" w:name="_Toc509578822"/>
      <w:bookmarkStart w:id="117" w:name="_Toc485375047"/>
      <w:bookmarkStart w:id="118" w:name="_Toc97282591"/>
      <w:r>
        <w:rPr>
          <w:rFonts w:hint="eastAsia"/>
          <w:sz w:val="32"/>
        </w:rPr>
        <w:t>本周国内磷酸主产区市场</w:t>
      </w:r>
      <w:bookmarkEnd w:id="114"/>
      <w:r>
        <w:rPr>
          <w:rFonts w:hint="eastAsia"/>
          <w:sz w:val="32"/>
        </w:rPr>
        <w:t>参考价格</w:t>
      </w:r>
      <w:bookmarkEnd w:id="115"/>
      <w:bookmarkEnd w:id="116"/>
      <w:bookmarkEnd w:id="117"/>
      <w:bookmarkEnd w:id="118"/>
    </w:p>
    <w:p>
      <w:pPr>
        <w:ind w:right="840"/>
        <w:rPr>
          <w:color w:val="000000"/>
        </w:rPr>
      </w:pPr>
      <w:r>
        <w:rPr>
          <w:rFonts w:hint="eastAsia"/>
          <w:color w:val="000000"/>
        </w:rPr>
        <w:t>单位：（元/吨）</w:t>
      </w:r>
    </w:p>
    <w:p>
      <w:pPr>
        <w:ind w:right="840"/>
        <w:rPr>
          <w:color w:val="000000"/>
        </w:rPr>
      </w:pPr>
    </w:p>
    <w:p>
      <w:pPr>
        <w:ind w:right="840"/>
        <w:rPr>
          <w:color w:val="000000"/>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2171"/>
        <w:gridCol w:w="2469"/>
        <w:gridCol w:w="1932"/>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00" w:type="pct"/>
            <w:shd w:val="clear" w:color="000000" w:fill="93CDDD"/>
            <w:vAlign w:val="center"/>
          </w:tcPr>
          <w:p>
            <w:pPr>
              <w:widowControl/>
              <w:jc w:val="center"/>
              <w:rPr>
                <w:rFonts w:cs="宋体" w:asciiTheme="minorEastAsia" w:hAnsiTheme="minorEastAsia"/>
                <w:b/>
                <w:bCs/>
                <w:color w:val="000000"/>
                <w:kern w:val="0"/>
                <w:sz w:val="18"/>
                <w:szCs w:val="18"/>
              </w:rPr>
            </w:pPr>
            <w:bookmarkStart w:id="119" w:name="_磷酸盐_"/>
            <w:bookmarkEnd w:id="119"/>
            <w:bookmarkStart w:id="120" w:name="_Toc485375050"/>
            <w:bookmarkStart w:id="121" w:name="_Toc509578126"/>
            <w:bookmarkStart w:id="122" w:name="_Toc509578825"/>
            <w:r>
              <w:rPr>
                <w:rFonts w:hint="eastAsia" w:cs="宋体" w:asciiTheme="minorEastAsia" w:hAnsiTheme="minorEastAsia"/>
                <w:b/>
                <w:bCs/>
                <w:color w:val="000000"/>
                <w:kern w:val="0"/>
                <w:sz w:val="18"/>
                <w:szCs w:val="18"/>
              </w:rPr>
              <w:t>产品</w:t>
            </w:r>
          </w:p>
        </w:tc>
        <w:tc>
          <w:tcPr>
            <w:tcW w:w="962" w:type="pct"/>
            <w:shd w:val="clear" w:color="000000" w:fill="93CDDD"/>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地区</w:t>
            </w:r>
          </w:p>
        </w:tc>
        <w:tc>
          <w:tcPr>
            <w:tcW w:w="1094" w:type="pct"/>
            <w:shd w:val="clear" w:color="000000" w:fill="93CDDD"/>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规格</w:t>
            </w:r>
          </w:p>
        </w:tc>
        <w:tc>
          <w:tcPr>
            <w:tcW w:w="856" w:type="pct"/>
            <w:shd w:val="clear" w:color="000000" w:fill="93CDDD"/>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lang w:val="en-US" w:eastAsia="zh-CN"/>
              </w:rPr>
              <w:t>4</w:t>
            </w:r>
            <w:r>
              <w:rPr>
                <w:rFonts w:hint="eastAsia" w:cs="宋体" w:asciiTheme="minorEastAsia" w:hAnsiTheme="minorEastAsia"/>
                <w:b/>
                <w:bCs/>
                <w:color w:val="000000"/>
                <w:kern w:val="0"/>
                <w:sz w:val="18"/>
                <w:szCs w:val="18"/>
              </w:rPr>
              <w:t>月</w:t>
            </w:r>
            <w:r>
              <w:rPr>
                <w:rFonts w:hint="eastAsia" w:cs="宋体" w:asciiTheme="minorEastAsia" w:hAnsiTheme="minorEastAsia"/>
                <w:b/>
                <w:bCs/>
                <w:color w:val="000000"/>
                <w:kern w:val="0"/>
                <w:sz w:val="18"/>
                <w:szCs w:val="18"/>
                <w:lang w:val="en-US" w:eastAsia="zh-CN"/>
              </w:rPr>
              <w:t>1</w:t>
            </w:r>
            <w:r>
              <w:rPr>
                <w:rFonts w:hint="eastAsia" w:cs="宋体" w:asciiTheme="minorEastAsia" w:hAnsiTheme="minorEastAsia"/>
                <w:b/>
                <w:bCs/>
                <w:color w:val="000000"/>
                <w:kern w:val="0"/>
                <w:sz w:val="18"/>
                <w:szCs w:val="18"/>
              </w:rPr>
              <w:t>日</w:t>
            </w:r>
          </w:p>
        </w:tc>
        <w:tc>
          <w:tcPr>
            <w:tcW w:w="1088" w:type="pct"/>
            <w:shd w:val="clear" w:color="000000" w:fill="93CDDD"/>
            <w:vAlign w:val="center"/>
          </w:tcPr>
          <w:p>
            <w:pPr>
              <w:widowControl/>
              <w:jc w:val="center"/>
              <w:rPr>
                <w:rFonts w:asciiTheme="minorEastAsia" w:hAnsiTheme="minorEastAsia"/>
                <w:color w:val="000000"/>
                <w:sz w:val="18"/>
                <w:szCs w:val="18"/>
              </w:rPr>
            </w:pPr>
            <w:r>
              <w:rPr>
                <w:rFonts w:hint="eastAsia" w:cs="宋体" w:asciiTheme="minorEastAsia" w:hAnsiTheme="minorEastAsia"/>
                <w:b/>
                <w:bCs/>
                <w:color w:val="000000"/>
                <w:kern w:val="0"/>
                <w:sz w:val="18"/>
                <w:szCs w:val="18"/>
              </w:rPr>
              <w:t>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00" w:type="pct"/>
            <w:vMerge w:val="restart"/>
            <w:shd w:val="clear" w:color="000000" w:fill="F9F9F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磷酸</w:t>
            </w:r>
          </w:p>
        </w:tc>
        <w:tc>
          <w:tcPr>
            <w:tcW w:w="962" w:type="pct"/>
            <w:shd w:val="clear" w:color="000000" w:fill="F9F9F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云南</w:t>
            </w:r>
          </w:p>
        </w:tc>
        <w:tc>
          <w:tcPr>
            <w:tcW w:w="1094" w:type="pct"/>
            <w:shd w:val="clear" w:color="000000" w:fill="F9F9F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工业级净水</w:t>
            </w:r>
          </w:p>
        </w:tc>
        <w:tc>
          <w:tcPr>
            <w:tcW w:w="856" w:type="pct"/>
            <w:shd w:val="clear" w:color="000000" w:fill="F9F9F9"/>
            <w:vAlign w:val="bottom"/>
          </w:tcPr>
          <w:p>
            <w:pPr>
              <w:jc w:val="center"/>
              <w:rPr>
                <w:rFonts w:asciiTheme="minorEastAsia" w:hAnsiTheme="minorEastAsia"/>
                <w:color w:val="000000"/>
                <w:sz w:val="18"/>
                <w:szCs w:val="18"/>
              </w:rPr>
            </w:pPr>
            <w:r>
              <w:rPr>
                <w:rFonts w:hint="eastAsia" w:asciiTheme="minorEastAsia" w:hAnsiTheme="minorEastAsia"/>
                <w:color w:val="000000"/>
                <w:sz w:val="18"/>
                <w:szCs w:val="18"/>
              </w:rPr>
              <w:t>10</w:t>
            </w:r>
            <w:r>
              <w:rPr>
                <w:rFonts w:hint="eastAsia" w:asciiTheme="minorEastAsia" w:hAnsiTheme="minorEastAsia"/>
                <w:color w:val="000000"/>
                <w:sz w:val="18"/>
                <w:szCs w:val="18"/>
                <w:lang w:val="en-US" w:eastAsia="zh-CN"/>
              </w:rPr>
              <w:t>4</w:t>
            </w:r>
            <w:r>
              <w:rPr>
                <w:rFonts w:hint="eastAsia" w:asciiTheme="minorEastAsia" w:hAnsiTheme="minorEastAsia"/>
                <w:color w:val="000000"/>
                <w:sz w:val="18"/>
                <w:szCs w:val="18"/>
              </w:rPr>
              <w:t>00</w:t>
            </w:r>
          </w:p>
          <w:p>
            <w:pPr>
              <w:jc w:val="center"/>
              <w:rPr>
                <w:rFonts w:asciiTheme="minorEastAsia" w:hAnsiTheme="minorEastAsia"/>
                <w:color w:val="000000"/>
                <w:sz w:val="18"/>
                <w:szCs w:val="18"/>
              </w:rPr>
            </w:pPr>
          </w:p>
        </w:tc>
        <w:tc>
          <w:tcPr>
            <w:tcW w:w="1088" w:type="pct"/>
            <w:shd w:val="clear" w:color="000000" w:fill="F9F9F9"/>
            <w:vAlign w:val="bottom"/>
          </w:tcPr>
          <w:p>
            <w:pPr>
              <w:jc w:val="center"/>
              <w:rPr>
                <w:rFonts w:asciiTheme="minorEastAsia" w:hAnsiTheme="minorEastAsia"/>
                <w:color w:val="000000"/>
                <w:sz w:val="18"/>
                <w:szCs w:val="18"/>
              </w:rPr>
            </w:pPr>
            <w:r>
              <w:rPr>
                <w:rFonts w:hint="eastAsia" w:asciiTheme="minorEastAsia" w:hAnsiTheme="minorEastAsia"/>
                <w:color w:val="000000"/>
                <w:sz w:val="18"/>
                <w:szCs w:val="18"/>
              </w:rPr>
              <w:t>10100</w:t>
            </w:r>
          </w:p>
          <w:p>
            <w:pPr>
              <w:jc w:val="center"/>
              <w:rPr>
                <w:rFonts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0" w:type="pct"/>
            <w:vMerge w:val="continue"/>
            <w:vAlign w:val="center"/>
          </w:tcPr>
          <w:p>
            <w:pPr>
              <w:widowControl/>
              <w:jc w:val="left"/>
              <w:rPr>
                <w:rFonts w:cs="宋体" w:asciiTheme="minorEastAsia" w:hAnsiTheme="minorEastAsia"/>
                <w:color w:val="000000"/>
                <w:kern w:val="0"/>
                <w:sz w:val="18"/>
                <w:szCs w:val="18"/>
              </w:rPr>
            </w:pPr>
          </w:p>
        </w:tc>
        <w:tc>
          <w:tcPr>
            <w:tcW w:w="962" w:type="pct"/>
            <w:shd w:val="clear" w:color="000000" w:fill="F9F9F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四川</w:t>
            </w:r>
          </w:p>
        </w:tc>
        <w:tc>
          <w:tcPr>
            <w:tcW w:w="1094" w:type="pct"/>
            <w:shd w:val="clear" w:color="000000" w:fill="F9F9F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工业级净水</w:t>
            </w:r>
          </w:p>
        </w:tc>
        <w:tc>
          <w:tcPr>
            <w:tcW w:w="856" w:type="pct"/>
            <w:shd w:val="clear" w:color="000000" w:fill="F9F9F9"/>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lang w:val="en-US" w:eastAsia="zh-CN"/>
              </w:rPr>
              <w:t>10260</w:t>
            </w:r>
          </w:p>
        </w:tc>
        <w:tc>
          <w:tcPr>
            <w:tcW w:w="1088" w:type="pct"/>
            <w:shd w:val="clear" w:color="000000" w:fill="F9F9F9"/>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0" w:type="pct"/>
            <w:vMerge w:val="continue"/>
            <w:vAlign w:val="center"/>
          </w:tcPr>
          <w:p>
            <w:pPr>
              <w:widowControl/>
              <w:jc w:val="left"/>
              <w:rPr>
                <w:rFonts w:cs="宋体" w:asciiTheme="minorEastAsia" w:hAnsiTheme="minorEastAsia"/>
                <w:color w:val="000000"/>
                <w:kern w:val="0"/>
                <w:sz w:val="18"/>
                <w:szCs w:val="18"/>
              </w:rPr>
            </w:pPr>
          </w:p>
        </w:tc>
        <w:tc>
          <w:tcPr>
            <w:tcW w:w="962" w:type="pct"/>
            <w:shd w:val="clear" w:color="000000" w:fill="F9F9F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广西</w:t>
            </w:r>
          </w:p>
        </w:tc>
        <w:tc>
          <w:tcPr>
            <w:tcW w:w="1094" w:type="pct"/>
            <w:shd w:val="clear" w:color="000000" w:fill="F9F9F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工业级净水</w:t>
            </w:r>
          </w:p>
        </w:tc>
        <w:tc>
          <w:tcPr>
            <w:tcW w:w="856" w:type="pct"/>
            <w:shd w:val="clear" w:color="000000" w:fill="F9F9F9"/>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10500</w:t>
            </w:r>
          </w:p>
        </w:tc>
        <w:tc>
          <w:tcPr>
            <w:tcW w:w="1088" w:type="pct"/>
            <w:shd w:val="clear" w:color="000000" w:fill="F9F9F9"/>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0" w:type="pct"/>
            <w:vMerge w:val="continue"/>
            <w:vAlign w:val="center"/>
          </w:tcPr>
          <w:p>
            <w:pPr>
              <w:widowControl/>
              <w:jc w:val="left"/>
              <w:rPr>
                <w:rFonts w:cs="宋体" w:asciiTheme="minorEastAsia" w:hAnsiTheme="minorEastAsia"/>
                <w:color w:val="000000"/>
                <w:kern w:val="0"/>
                <w:sz w:val="18"/>
                <w:szCs w:val="18"/>
              </w:rPr>
            </w:pPr>
          </w:p>
        </w:tc>
        <w:tc>
          <w:tcPr>
            <w:tcW w:w="962" w:type="pct"/>
            <w:shd w:val="clear" w:color="000000" w:fill="F9F9F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w:t>
            </w:r>
          </w:p>
        </w:tc>
        <w:tc>
          <w:tcPr>
            <w:tcW w:w="1094" w:type="pct"/>
            <w:shd w:val="clear" w:color="000000" w:fill="F9F9F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工业级净水</w:t>
            </w:r>
          </w:p>
        </w:tc>
        <w:tc>
          <w:tcPr>
            <w:tcW w:w="856" w:type="pct"/>
            <w:shd w:val="clear" w:color="000000" w:fill="F9F9F9"/>
            <w:vAlign w:val="bottom"/>
          </w:tcPr>
          <w:p>
            <w:pPr>
              <w:jc w:val="center"/>
              <w:rPr>
                <w:rFonts w:asciiTheme="minorEastAsia" w:hAnsiTheme="minorEastAsia"/>
                <w:color w:val="000000"/>
                <w:sz w:val="18"/>
                <w:szCs w:val="18"/>
              </w:rPr>
            </w:pPr>
            <w:r>
              <w:rPr>
                <w:rFonts w:hint="eastAsia" w:asciiTheme="minorEastAsia" w:hAnsiTheme="minorEastAsia"/>
                <w:color w:val="000000"/>
                <w:sz w:val="18"/>
                <w:szCs w:val="18"/>
              </w:rPr>
              <w:t>1</w:t>
            </w:r>
            <w:r>
              <w:rPr>
                <w:rFonts w:hint="eastAsia" w:asciiTheme="minorEastAsia" w:hAnsiTheme="minorEastAsia"/>
                <w:color w:val="000000"/>
                <w:sz w:val="18"/>
                <w:szCs w:val="18"/>
                <w:lang w:val="en-US" w:eastAsia="zh-CN"/>
              </w:rPr>
              <w:t>140</w:t>
            </w:r>
            <w:r>
              <w:rPr>
                <w:rFonts w:hint="eastAsia" w:asciiTheme="minorEastAsia" w:hAnsiTheme="minorEastAsia"/>
                <w:color w:val="000000"/>
                <w:sz w:val="18"/>
                <w:szCs w:val="18"/>
              </w:rPr>
              <w:t>0</w:t>
            </w:r>
          </w:p>
          <w:p>
            <w:pPr>
              <w:jc w:val="center"/>
              <w:rPr>
                <w:rFonts w:asciiTheme="minorEastAsia" w:hAnsiTheme="minorEastAsia"/>
                <w:color w:val="000000"/>
                <w:sz w:val="18"/>
                <w:szCs w:val="18"/>
              </w:rPr>
            </w:pPr>
          </w:p>
        </w:tc>
        <w:tc>
          <w:tcPr>
            <w:tcW w:w="1088" w:type="pct"/>
            <w:shd w:val="clear" w:color="000000" w:fill="F9F9F9"/>
            <w:vAlign w:val="bottom"/>
          </w:tcPr>
          <w:p>
            <w:pPr>
              <w:jc w:val="center"/>
              <w:rPr>
                <w:rFonts w:asciiTheme="minorEastAsia" w:hAnsiTheme="minorEastAsia"/>
                <w:color w:val="000000"/>
                <w:sz w:val="18"/>
                <w:szCs w:val="18"/>
              </w:rPr>
            </w:pPr>
            <w:r>
              <w:rPr>
                <w:rFonts w:hint="eastAsia" w:asciiTheme="minorEastAsia" w:hAnsiTheme="minorEastAsia"/>
                <w:color w:val="000000"/>
                <w:sz w:val="18"/>
                <w:szCs w:val="18"/>
              </w:rPr>
              <w:t>11250</w:t>
            </w:r>
          </w:p>
          <w:p>
            <w:pPr>
              <w:jc w:val="center"/>
              <w:rPr>
                <w:rFonts w:asciiTheme="minorEastAsia" w:hAnsiTheme="minorEastAsia"/>
                <w:color w:val="000000"/>
                <w:sz w:val="18"/>
                <w:szCs w:val="18"/>
              </w:rPr>
            </w:pPr>
          </w:p>
        </w:tc>
      </w:tr>
    </w:tbl>
    <w:p>
      <w:pPr>
        <w:rPr>
          <w:color w:val="000000"/>
        </w:rPr>
      </w:pPr>
    </w:p>
    <w:p>
      <w:pPr>
        <w:pStyle w:val="3"/>
        <w:rPr>
          <w:sz w:val="32"/>
        </w:rPr>
      </w:pPr>
      <w:bookmarkStart w:id="123" w:name="_Toc97282592"/>
      <w:r>
        <w:rPr>
          <w:sz w:val="32"/>
        </w:rPr>
        <w:t>磷酸盐</w:t>
      </w:r>
      <w:bookmarkEnd w:id="96"/>
      <w:bookmarkEnd w:id="97"/>
      <w:bookmarkEnd w:id="98"/>
      <w:bookmarkEnd w:id="120"/>
      <w:bookmarkEnd w:id="121"/>
      <w:bookmarkEnd w:id="122"/>
      <w:bookmarkEnd w:id="123"/>
    </w:p>
    <w:p>
      <w:pPr>
        <w:pStyle w:val="3"/>
        <w:rPr>
          <w:sz w:val="32"/>
        </w:rPr>
      </w:pPr>
      <w:bookmarkStart w:id="124" w:name="_Toc509578127"/>
      <w:bookmarkStart w:id="125" w:name="_Toc485375051"/>
      <w:bookmarkStart w:id="126" w:name="_Toc509578826"/>
      <w:bookmarkStart w:id="127" w:name="_Toc97282593"/>
      <w:bookmarkStart w:id="128" w:name="_Toc212025206"/>
      <w:bookmarkStart w:id="129" w:name="_Toc245239556"/>
      <w:r>
        <w:rPr>
          <w:sz w:val="32"/>
        </w:rPr>
        <w:t>三聚磷酸钠</w:t>
      </w:r>
      <w:bookmarkEnd w:id="124"/>
      <w:bookmarkEnd w:id="125"/>
      <w:bookmarkEnd w:id="126"/>
      <w:bookmarkEnd w:id="127"/>
    </w:p>
    <w:p>
      <w:pPr>
        <w:jc w:val="center"/>
      </w:pPr>
      <w:r>
        <w:drawing>
          <wp:inline distT="0" distB="0" distL="114300" distR="114300">
            <wp:extent cx="4143375" cy="2714625"/>
            <wp:effectExtent l="0" t="0" r="9525" b="952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1"/>
                    <a:stretch>
                      <a:fillRect/>
                    </a:stretch>
                  </pic:blipFill>
                  <pic:spPr>
                    <a:xfrm>
                      <a:off x="0" y="0"/>
                      <a:ext cx="4143375" cy="2714625"/>
                    </a:xfrm>
                    <a:prstGeom prst="rect">
                      <a:avLst/>
                    </a:prstGeom>
                    <a:noFill/>
                    <a:ln>
                      <a:noFill/>
                    </a:ln>
                  </pic:spPr>
                </pic:pic>
              </a:graphicData>
            </a:graphic>
          </wp:inline>
        </w:drawing>
      </w:r>
    </w:p>
    <w:bookmarkEnd w:id="128"/>
    <w:bookmarkEnd w:id="129"/>
    <w:p>
      <w:pPr>
        <w:pStyle w:val="3"/>
        <w:rPr>
          <w:sz w:val="32"/>
        </w:rPr>
      </w:pPr>
      <w:bookmarkStart w:id="130" w:name="_Toc212025207"/>
      <w:bookmarkStart w:id="131" w:name="_Toc509578827"/>
      <w:bookmarkStart w:id="132" w:name="_Toc509578128"/>
      <w:bookmarkStart w:id="133" w:name="_Toc219890893"/>
      <w:bookmarkStart w:id="134" w:name="_Toc261007308"/>
      <w:bookmarkStart w:id="135" w:name="_Toc485375052"/>
      <w:bookmarkStart w:id="136" w:name="_Toc97282594"/>
      <w:bookmarkStart w:id="137" w:name="_Toc243473625"/>
      <w:bookmarkStart w:id="138" w:name="_Toc193274347"/>
      <w:r>
        <w:rPr>
          <w:rFonts w:hint="eastAsia"/>
          <w:sz w:val="32"/>
        </w:rPr>
        <w:t>评述：中国三聚磷酸钠市场一周评述及后市预测</w:t>
      </w:r>
      <w:bookmarkEnd w:id="130"/>
      <w:bookmarkEnd w:id="131"/>
      <w:bookmarkEnd w:id="132"/>
      <w:bookmarkEnd w:id="133"/>
      <w:bookmarkEnd w:id="134"/>
      <w:bookmarkEnd w:id="135"/>
      <w:bookmarkEnd w:id="136"/>
    </w:p>
    <w:p>
      <w:pPr>
        <w:pStyle w:val="24"/>
        <w:ind w:firstLine="360" w:firstLineChars="200"/>
        <w:rPr>
          <w:sz w:val="18"/>
          <w:szCs w:val="18"/>
        </w:rPr>
      </w:pPr>
      <w:bookmarkStart w:id="139" w:name="_Toc190852518"/>
      <w:bookmarkStart w:id="140" w:name="_Toc485375054"/>
      <w:bookmarkStart w:id="141" w:name="_Toc216256679"/>
      <w:bookmarkStart w:id="142" w:name="_Toc219890897"/>
      <w:bookmarkStart w:id="143" w:name="_Toc268870673"/>
      <w:bookmarkStart w:id="144" w:name="_Toc273537108"/>
      <w:bookmarkStart w:id="145" w:name="_Toc509578829"/>
      <w:bookmarkStart w:id="146" w:name="_Toc270084809"/>
      <w:bookmarkStart w:id="147" w:name="_Toc509578130"/>
      <w:bookmarkStart w:id="148" w:name="_Toc273534783"/>
      <w:bookmarkStart w:id="149" w:name="_Toc279764404"/>
      <w:bookmarkStart w:id="150" w:name="_Toc211422078"/>
      <w:bookmarkStart w:id="151" w:name="_Toc303331871"/>
      <w:bookmarkStart w:id="152" w:name="_Toc356563030"/>
      <w:bookmarkStart w:id="153" w:name="_Toc219890907"/>
      <w:bookmarkStart w:id="154" w:name="_Toc267053398"/>
      <w:bookmarkStart w:id="155" w:name="_Toc216256688"/>
      <w:r>
        <w:rPr>
          <w:sz w:val="18"/>
          <w:szCs w:val="18"/>
        </w:rPr>
        <w:t>本周三聚磷酸钠市场弱稳运行。受国内疫情影响，部分地区发运受限，下游终端企业开工受到影响，使需求本就清淡的五钠市场更加雪上加霜。目前下游少量按需采购为主，市场难有利好支撑。预计下周市场僵持整理为主。价格方面，四川地区工业级商谈价 6600-7500 元/吨，山东地区三聚磷酸钠工业级主流商谈价 7800-8800 元/吨;湖北地区主流厂家暂无报价，成交一单一议。</w:t>
      </w:r>
    </w:p>
    <w:p>
      <w:pPr>
        <w:pStyle w:val="24"/>
        <w:ind w:firstLine="360" w:firstLineChars="200"/>
        <w:rPr>
          <w:sz w:val="18"/>
          <w:szCs w:val="18"/>
        </w:rPr>
      </w:pPr>
      <w:r>
        <w:rPr>
          <w:sz w:val="18"/>
          <w:szCs w:val="18"/>
        </w:rPr>
        <w:t>后市预测：预计短期内三聚磷酸钠市场主流企业报价依然稳定，实际成交稳中窄幅调整，多随原料价格波动，灵活商谈为主。</w:t>
      </w:r>
    </w:p>
    <w:p>
      <w:pPr>
        <w:pStyle w:val="24"/>
        <w:ind w:firstLine="360" w:firstLineChars="200"/>
        <w:rPr>
          <w:sz w:val="18"/>
          <w:szCs w:val="18"/>
        </w:rPr>
      </w:pPr>
    </w:p>
    <w:p>
      <w:pPr>
        <w:pStyle w:val="3"/>
        <w:spacing w:line="240" w:lineRule="auto"/>
        <w:ind w:firstLine="361" w:firstLineChars="200"/>
        <w:jc w:val="center"/>
        <w:rPr>
          <w:sz w:val="18"/>
          <w:szCs w:val="18"/>
        </w:rPr>
      </w:pPr>
    </w:p>
    <w:p>
      <w:pPr>
        <w:pStyle w:val="3"/>
        <w:rPr>
          <w:sz w:val="32"/>
        </w:rPr>
      </w:pPr>
      <w:bookmarkStart w:id="156" w:name="_Toc97282595"/>
      <w:r>
        <w:rPr>
          <w:rFonts w:hint="eastAsia"/>
          <w:sz w:val="32"/>
        </w:rPr>
        <w:t>部分企业三聚磷酸钠出厂价格周汇总</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6"/>
    </w:p>
    <w:p/>
    <w:p>
      <w:r>
        <w:rPr>
          <w:rFonts w:hint="eastAsia"/>
        </w:rPr>
        <w:t>单位：元/吨</w:t>
      </w:r>
    </w:p>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3171"/>
        <w:gridCol w:w="946"/>
        <w:gridCol w:w="946"/>
        <w:gridCol w:w="1876"/>
        <w:gridCol w:w="141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77" w:type="pct"/>
            <w:shd w:val="clear" w:color="auto" w:fill="99CCFF"/>
            <w:vAlign w:val="center"/>
          </w:tcPr>
          <w:p>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省市</w:t>
            </w:r>
          </w:p>
        </w:tc>
        <w:tc>
          <w:tcPr>
            <w:tcW w:w="1405" w:type="pct"/>
            <w:shd w:val="clear" w:color="auto" w:fill="99CCFF"/>
            <w:vAlign w:val="center"/>
          </w:tcPr>
          <w:p>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企业</w:t>
            </w:r>
          </w:p>
        </w:tc>
        <w:tc>
          <w:tcPr>
            <w:tcW w:w="419" w:type="pct"/>
            <w:shd w:val="clear" w:color="auto" w:fill="99CCFF"/>
            <w:vAlign w:val="center"/>
          </w:tcPr>
          <w:p>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含量</w:t>
            </w:r>
          </w:p>
        </w:tc>
        <w:tc>
          <w:tcPr>
            <w:tcW w:w="419" w:type="pct"/>
            <w:shd w:val="clear" w:color="auto" w:fill="99CCFF"/>
            <w:vAlign w:val="center"/>
          </w:tcPr>
          <w:p>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类型</w:t>
            </w:r>
          </w:p>
        </w:tc>
        <w:tc>
          <w:tcPr>
            <w:tcW w:w="831" w:type="pct"/>
            <w:shd w:val="clear" w:color="auto" w:fill="99CCFF"/>
            <w:vAlign w:val="center"/>
          </w:tcPr>
          <w:p>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备注</w:t>
            </w:r>
          </w:p>
        </w:tc>
        <w:tc>
          <w:tcPr>
            <w:tcW w:w="628" w:type="pct"/>
            <w:shd w:val="clear" w:color="auto" w:fill="99CCFF"/>
            <w:vAlign w:val="center"/>
          </w:tcPr>
          <w:p>
            <w:pPr>
              <w:jc w:val="center"/>
              <w:rPr>
                <w:rFonts w:hint="eastAsia" w:cs="宋体" w:asciiTheme="minorEastAsia" w:hAnsiTheme="minorEastAsia" w:eastAsiaTheme="minorEastAsia"/>
                <w:b/>
                <w:bCs/>
                <w:color w:val="000000"/>
                <w:sz w:val="18"/>
                <w:szCs w:val="18"/>
                <w:lang w:val="en-US" w:eastAsia="zh-CN"/>
              </w:rPr>
            </w:pPr>
            <w:r>
              <w:rPr>
                <w:rFonts w:hint="eastAsia" w:asciiTheme="minorEastAsia" w:hAnsiTheme="minorEastAsia"/>
                <w:b/>
                <w:bCs/>
                <w:color w:val="000000"/>
                <w:sz w:val="18"/>
                <w:szCs w:val="18"/>
              </w:rPr>
              <w:t>2022-</w:t>
            </w:r>
            <w:r>
              <w:rPr>
                <w:rFonts w:hint="eastAsia" w:asciiTheme="minorEastAsia" w:hAnsiTheme="minorEastAsia"/>
                <w:b/>
                <w:bCs/>
                <w:color w:val="000000"/>
                <w:sz w:val="18"/>
                <w:szCs w:val="18"/>
                <w:lang w:val="en-US" w:eastAsia="zh-CN"/>
              </w:rPr>
              <w:t>4</w:t>
            </w:r>
            <w:r>
              <w:rPr>
                <w:rFonts w:hint="eastAsia" w:asciiTheme="minorEastAsia" w:hAnsiTheme="minorEastAsia"/>
                <w:b/>
                <w:bCs/>
                <w:color w:val="000000"/>
                <w:sz w:val="18"/>
                <w:szCs w:val="18"/>
              </w:rPr>
              <w:t>-</w:t>
            </w:r>
            <w:r>
              <w:rPr>
                <w:rFonts w:hint="eastAsia" w:asciiTheme="minorEastAsia" w:hAnsiTheme="minorEastAsia"/>
                <w:b/>
                <w:bCs/>
                <w:color w:val="000000"/>
                <w:sz w:val="18"/>
                <w:szCs w:val="18"/>
                <w:lang w:val="en-US" w:eastAsia="zh-CN"/>
              </w:rPr>
              <w:t>1</w:t>
            </w:r>
          </w:p>
        </w:tc>
        <w:tc>
          <w:tcPr>
            <w:tcW w:w="621" w:type="pct"/>
            <w:shd w:val="clear" w:color="auto" w:fill="99CCFF"/>
            <w:vAlign w:val="center"/>
          </w:tcPr>
          <w:p>
            <w:pPr>
              <w:jc w:val="center"/>
              <w:rPr>
                <w:rFonts w:hint="default" w:cs="宋体" w:asciiTheme="minorEastAsia" w:hAnsiTheme="minorEastAsia" w:eastAsiaTheme="minorEastAsia"/>
                <w:b/>
                <w:bCs/>
                <w:color w:val="000000"/>
                <w:sz w:val="18"/>
                <w:szCs w:val="18"/>
                <w:lang w:val="en-US" w:eastAsia="zh-CN"/>
              </w:rPr>
            </w:pPr>
            <w:r>
              <w:rPr>
                <w:rFonts w:hint="eastAsia" w:asciiTheme="minorEastAsia" w:hAnsiTheme="minorEastAsia"/>
                <w:b/>
                <w:bCs/>
                <w:color w:val="000000"/>
                <w:sz w:val="18"/>
                <w:szCs w:val="18"/>
              </w:rPr>
              <w:t>2022-3-</w:t>
            </w:r>
            <w:r>
              <w:rPr>
                <w:rFonts w:hint="eastAsia" w:asciiTheme="minorEastAsia" w:hAnsiTheme="minorEastAsia"/>
                <w:b/>
                <w:bCs/>
                <w:color w:val="000000"/>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天津</w:t>
            </w:r>
          </w:p>
        </w:tc>
        <w:tc>
          <w:tcPr>
            <w:tcW w:w="1405"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荣宏化工</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Merge w:val="continue"/>
            <w:vAlign w:val="center"/>
          </w:tcPr>
          <w:p>
            <w:pPr>
              <w:widowControl/>
              <w:jc w:val="left"/>
              <w:rPr>
                <w:rFonts w:cs="宋体" w:asciiTheme="minorEastAsia" w:hAnsiTheme="minorEastAsia"/>
                <w:kern w:val="0"/>
                <w:sz w:val="18"/>
                <w:szCs w:val="18"/>
              </w:rPr>
            </w:pP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食品</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江苏</w:t>
            </w: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天富化工</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食品</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山东</w:t>
            </w: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广汇化工</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9000</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青州振华</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8000</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河南</w:t>
            </w: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新乡华幸</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湖北</w:t>
            </w:r>
          </w:p>
        </w:tc>
        <w:tc>
          <w:tcPr>
            <w:tcW w:w="1405"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兴发集团</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Merge w:val="continue"/>
            <w:vAlign w:val="center"/>
          </w:tcPr>
          <w:p>
            <w:pPr>
              <w:widowControl/>
              <w:jc w:val="left"/>
              <w:rPr>
                <w:rFonts w:cs="宋体" w:asciiTheme="minorEastAsia" w:hAnsiTheme="minorEastAsia"/>
                <w:kern w:val="0"/>
                <w:sz w:val="18"/>
                <w:szCs w:val="18"/>
              </w:rPr>
            </w:pP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食品</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武汉无机盐厂</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出厂现汇价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贵州</w:t>
            </w:r>
          </w:p>
        </w:tc>
        <w:tc>
          <w:tcPr>
            <w:tcW w:w="1405"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华捷化工</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Merge w:val="continue"/>
            <w:vAlign w:val="center"/>
          </w:tcPr>
          <w:p>
            <w:pPr>
              <w:widowControl/>
              <w:jc w:val="left"/>
              <w:rPr>
                <w:rFonts w:cs="宋体" w:asciiTheme="minorEastAsia" w:hAnsiTheme="minorEastAsia"/>
                <w:kern w:val="0"/>
                <w:sz w:val="18"/>
                <w:szCs w:val="18"/>
              </w:rPr>
            </w:pP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食品</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四川</w:t>
            </w: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金地亚美化工</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95%</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食品</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蓝剑集团</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Merge w:val="continue"/>
            <w:vAlign w:val="center"/>
          </w:tcPr>
          <w:p>
            <w:pPr>
              <w:widowControl/>
              <w:jc w:val="left"/>
              <w:rPr>
                <w:rFonts w:cs="宋体" w:asciiTheme="minorEastAsia" w:hAnsiTheme="minorEastAsia"/>
                <w:kern w:val="0"/>
                <w:sz w:val="18"/>
                <w:szCs w:val="18"/>
              </w:rPr>
            </w:pP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食品</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华丰化工</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天津港FOB</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启明星</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食品</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7200</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Merge w:val="continue"/>
            <w:vAlign w:val="center"/>
          </w:tcPr>
          <w:p>
            <w:pPr>
              <w:widowControl/>
              <w:jc w:val="left"/>
              <w:rPr>
                <w:rFonts w:cs="宋体" w:asciiTheme="minorEastAsia" w:hAnsiTheme="minorEastAsia"/>
                <w:kern w:val="0"/>
                <w:sz w:val="18"/>
                <w:szCs w:val="18"/>
              </w:rPr>
            </w:pP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圣地亚化工</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出厂现汇价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Merge w:val="continue"/>
            <w:vAlign w:val="center"/>
          </w:tcPr>
          <w:p>
            <w:pPr>
              <w:widowControl/>
              <w:jc w:val="left"/>
              <w:rPr>
                <w:rFonts w:cs="宋体" w:asciiTheme="minorEastAsia" w:hAnsiTheme="minorEastAsia"/>
                <w:kern w:val="0"/>
                <w:sz w:val="18"/>
                <w:szCs w:val="18"/>
              </w:rPr>
            </w:pP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食品</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黄埔港FOB</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1000</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天原（天蓝）化工</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7" w:type="pct"/>
            <w:vMerge w:val="restar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云南</w:t>
            </w: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南磷集团</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防城港FOB</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ind w:firstLine="180" w:firstLineChars="100"/>
              <w:jc w:val="left"/>
              <w:rPr>
                <w:rFonts w:cs="宋体" w:asciiTheme="minorEastAsia" w:hAnsiTheme="minorEastAsia"/>
                <w:kern w:val="0"/>
                <w:sz w:val="18"/>
                <w:szCs w:val="18"/>
              </w:rPr>
            </w:pP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南滇化工</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出厂含税价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6900</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Merge w:val="continue"/>
            <w:vAlign w:val="center"/>
          </w:tcPr>
          <w:p>
            <w:pPr>
              <w:widowControl/>
              <w:jc w:val="left"/>
              <w:rPr>
                <w:rFonts w:cs="宋体" w:asciiTheme="minorEastAsia" w:hAnsiTheme="minorEastAsia"/>
                <w:kern w:val="0"/>
                <w:sz w:val="18"/>
                <w:szCs w:val="18"/>
              </w:rPr>
            </w:pP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马龙产业（中轻依兰）</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出厂包装价</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7"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重庆</w:t>
            </w:r>
          </w:p>
        </w:tc>
        <w:tc>
          <w:tcPr>
            <w:tcW w:w="1405"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川东集团</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94%</w:t>
            </w:r>
          </w:p>
        </w:tc>
        <w:tc>
          <w:tcPr>
            <w:tcW w:w="419"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工业</w:t>
            </w:r>
          </w:p>
        </w:tc>
        <w:tc>
          <w:tcPr>
            <w:tcW w:w="831" w:type="pct"/>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黄埔港FOB</w:t>
            </w:r>
          </w:p>
        </w:tc>
        <w:tc>
          <w:tcPr>
            <w:tcW w:w="628" w:type="pct"/>
            <w:vAlign w:val="center"/>
          </w:tcPr>
          <w:p>
            <w:pPr>
              <w:jc w:val="center"/>
              <w:rPr>
                <w:rFonts w:cs="宋体" w:asciiTheme="minorEastAsia" w:hAnsiTheme="minorEastAsia"/>
                <w:sz w:val="18"/>
                <w:szCs w:val="18"/>
              </w:rPr>
            </w:pPr>
            <w:r>
              <w:rPr>
                <w:rFonts w:hint="eastAsia" w:asciiTheme="minorEastAsia" w:hAnsiTheme="minorEastAsia"/>
                <w:sz w:val="18"/>
                <w:szCs w:val="18"/>
              </w:rPr>
              <w:t>7700</w:t>
            </w:r>
          </w:p>
        </w:tc>
        <w:tc>
          <w:tcPr>
            <w:tcW w:w="1402" w:type="dxa"/>
            <w:vAlign w:val="center"/>
          </w:tcPr>
          <w:p>
            <w:pPr>
              <w:jc w:val="center"/>
              <w:rPr>
                <w:rFonts w:cs="宋体" w:asciiTheme="minorEastAsia" w:hAnsiTheme="minorEastAsia"/>
                <w:sz w:val="18"/>
                <w:szCs w:val="18"/>
              </w:rPr>
            </w:pPr>
            <w:r>
              <w:rPr>
                <w:rFonts w:hint="eastAsia" w:asciiTheme="minorEastAsia" w:hAnsiTheme="minorEastAsia"/>
                <w:sz w:val="18"/>
                <w:szCs w:val="18"/>
              </w:rPr>
              <w:t>7700</w:t>
            </w:r>
          </w:p>
        </w:tc>
      </w:tr>
    </w:tbl>
    <w:p/>
    <w:p/>
    <w:p>
      <w:pPr>
        <w:pStyle w:val="3"/>
        <w:rPr>
          <w:sz w:val="32"/>
        </w:rPr>
      </w:pPr>
      <w:bookmarkStart w:id="157" w:name="_Toc270084810"/>
      <w:bookmarkStart w:id="158" w:name="_Toc273534784"/>
      <w:bookmarkStart w:id="159" w:name="_Toc273537109"/>
      <w:bookmarkStart w:id="160" w:name="_Toc268870674"/>
      <w:bookmarkStart w:id="161" w:name="_Toc219890898"/>
      <w:bookmarkStart w:id="162" w:name="_Toc279764405"/>
      <w:bookmarkStart w:id="163" w:name="_Toc303331872"/>
      <w:bookmarkStart w:id="164" w:name="_Toc509578830"/>
      <w:bookmarkStart w:id="165" w:name="_Toc356563031"/>
      <w:bookmarkStart w:id="166" w:name="_Toc509578131"/>
      <w:bookmarkStart w:id="167" w:name="_Toc485375055"/>
      <w:bookmarkStart w:id="168" w:name="_Toc97282596"/>
      <w:r>
        <w:rPr>
          <w:rFonts w:hint="eastAsia"/>
          <w:sz w:val="32"/>
        </w:rPr>
        <w:t>国内工业三聚磷酸钠区域价格</w:t>
      </w:r>
      <w:bookmarkEnd w:id="157"/>
      <w:bookmarkEnd w:id="158"/>
      <w:bookmarkEnd w:id="159"/>
      <w:bookmarkEnd w:id="160"/>
      <w:bookmarkEnd w:id="161"/>
      <w:bookmarkEnd w:id="162"/>
      <w:r>
        <w:rPr>
          <w:rFonts w:hint="eastAsia"/>
          <w:sz w:val="32"/>
        </w:rPr>
        <w:t>周汇总</w:t>
      </w:r>
      <w:bookmarkEnd w:id="163"/>
      <w:bookmarkEnd w:id="164"/>
      <w:bookmarkEnd w:id="165"/>
      <w:bookmarkEnd w:id="166"/>
      <w:bookmarkEnd w:id="167"/>
      <w:bookmarkEnd w:id="168"/>
    </w:p>
    <w:p>
      <w:pPr>
        <w:ind w:right="420"/>
      </w:pPr>
      <w:r>
        <w:rPr>
          <w:rFonts w:hint="eastAsia"/>
        </w:rPr>
        <w:t>单位：元/吨</w:t>
      </w:r>
    </w:p>
    <w:p>
      <w:pPr>
        <w:ind w:right="420"/>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4600"/>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1" w:type="pct"/>
            <w:shd w:val="clear" w:color="auto" w:fill="99CCFF"/>
            <w:vAlign w:val="center"/>
          </w:tcPr>
          <w:p>
            <w:pPr>
              <w:widowControl/>
              <w:jc w:val="center"/>
              <w:rPr>
                <w:rFonts w:cs="宋体" w:asciiTheme="minorEastAsia" w:hAnsiTheme="minorEastAsia"/>
                <w:b/>
                <w:bCs/>
                <w:color w:val="000000"/>
                <w:kern w:val="0"/>
                <w:sz w:val="18"/>
                <w:szCs w:val="18"/>
              </w:rPr>
            </w:pPr>
            <w:bookmarkStart w:id="169" w:name="_Toc279764409"/>
            <w:bookmarkStart w:id="170" w:name="_Toc303331873"/>
            <w:bookmarkStart w:id="171" w:name="_Toc273537113"/>
            <w:bookmarkStart w:id="172" w:name="_Toc356563032"/>
            <w:r>
              <w:rPr>
                <w:rFonts w:hint="eastAsia" w:cs="宋体" w:asciiTheme="minorEastAsia" w:hAnsiTheme="minorEastAsia"/>
                <w:b/>
                <w:bCs/>
                <w:color w:val="000000"/>
                <w:kern w:val="0"/>
                <w:sz w:val="18"/>
                <w:szCs w:val="18"/>
              </w:rPr>
              <w:t>区域</w:t>
            </w:r>
          </w:p>
        </w:tc>
        <w:tc>
          <w:tcPr>
            <w:tcW w:w="2038" w:type="pct"/>
            <w:shd w:val="clear" w:color="auto" w:fill="99CCFF"/>
            <w:vAlign w:val="center"/>
          </w:tcPr>
          <w:p>
            <w:pPr>
              <w:widowControl/>
              <w:jc w:val="center"/>
              <w:rPr>
                <w:rFonts w:hint="eastAsia" w:cs="宋体" w:asciiTheme="minorEastAsia" w:hAnsiTheme="minorEastAsia" w:eastAsiaTheme="minorEastAsia"/>
                <w:b/>
                <w:bCs/>
                <w:color w:val="000000"/>
                <w:kern w:val="0"/>
                <w:sz w:val="18"/>
                <w:szCs w:val="18"/>
                <w:lang w:val="en-US" w:eastAsia="zh-CN"/>
              </w:rPr>
            </w:pPr>
            <w:r>
              <w:rPr>
                <w:rFonts w:hint="eastAsia" w:cs="宋体" w:asciiTheme="minorEastAsia" w:hAnsiTheme="minorEastAsia"/>
                <w:b/>
                <w:bCs/>
                <w:color w:val="000000"/>
                <w:kern w:val="0"/>
                <w:sz w:val="18"/>
                <w:szCs w:val="18"/>
              </w:rPr>
              <w:t>22-</w:t>
            </w:r>
            <w:r>
              <w:rPr>
                <w:rFonts w:hint="eastAsia" w:cs="宋体" w:asciiTheme="minorEastAsia" w:hAnsiTheme="minorEastAsia"/>
                <w:b/>
                <w:bCs/>
                <w:color w:val="000000"/>
                <w:kern w:val="0"/>
                <w:sz w:val="18"/>
                <w:szCs w:val="18"/>
                <w:lang w:val="en-US" w:eastAsia="zh-CN"/>
              </w:rPr>
              <w:t>4</w:t>
            </w:r>
            <w:r>
              <w:rPr>
                <w:rFonts w:hint="eastAsia" w:cs="宋体" w:asciiTheme="minorEastAsia" w:hAnsiTheme="minorEastAsia"/>
                <w:b/>
                <w:bCs/>
                <w:color w:val="000000"/>
                <w:kern w:val="0"/>
                <w:sz w:val="18"/>
                <w:szCs w:val="18"/>
              </w:rPr>
              <w:t>-</w:t>
            </w:r>
            <w:r>
              <w:rPr>
                <w:rFonts w:hint="eastAsia" w:cs="宋体" w:asciiTheme="minorEastAsia" w:hAnsiTheme="minorEastAsia"/>
                <w:b/>
                <w:bCs/>
                <w:color w:val="000000"/>
                <w:kern w:val="0"/>
                <w:sz w:val="18"/>
                <w:szCs w:val="18"/>
                <w:lang w:val="en-US" w:eastAsia="zh-CN"/>
              </w:rPr>
              <w:t>1</w:t>
            </w:r>
          </w:p>
        </w:tc>
        <w:tc>
          <w:tcPr>
            <w:tcW w:w="1931" w:type="pct"/>
            <w:shd w:val="clear" w:color="auto" w:fill="99CCFF"/>
            <w:vAlign w:val="center"/>
          </w:tcPr>
          <w:p>
            <w:pPr>
              <w:widowControl/>
              <w:jc w:val="center"/>
              <w:rPr>
                <w:rFonts w:hint="default" w:cs="宋体" w:asciiTheme="minorEastAsia" w:hAnsiTheme="minorEastAsia" w:eastAsiaTheme="minorEastAsia"/>
                <w:b/>
                <w:bCs/>
                <w:color w:val="000000"/>
                <w:kern w:val="0"/>
                <w:sz w:val="18"/>
                <w:szCs w:val="18"/>
                <w:lang w:val="en-US" w:eastAsia="zh-CN"/>
              </w:rPr>
            </w:pPr>
            <w:r>
              <w:rPr>
                <w:rFonts w:hint="eastAsia" w:cs="宋体" w:asciiTheme="minorEastAsia" w:hAnsiTheme="minorEastAsia"/>
                <w:b/>
                <w:bCs/>
                <w:color w:val="000000"/>
                <w:kern w:val="0"/>
                <w:sz w:val="18"/>
                <w:szCs w:val="18"/>
              </w:rPr>
              <w:t>22-3-</w:t>
            </w:r>
            <w:r>
              <w:rPr>
                <w:rFonts w:hint="eastAsia" w:cs="宋体" w:asciiTheme="minorEastAsia" w:hAnsiTheme="minorEastAsia"/>
                <w:b/>
                <w:bCs/>
                <w:color w:val="000000"/>
                <w:kern w:val="0"/>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1" w:type="pct"/>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四川</w:t>
            </w:r>
          </w:p>
        </w:tc>
        <w:tc>
          <w:tcPr>
            <w:tcW w:w="2038" w:type="pct"/>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7000</w:t>
            </w:r>
          </w:p>
        </w:tc>
        <w:tc>
          <w:tcPr>
            <w:tcW w:w="1931" w:type="pct"/>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1" w:type="pct"/>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江苏</w:t>
            </w:r>
          </w:p>
        </w:tc>
        <w:tc>
          <w:tcPr>
            <w:tcW w:w="2038" w:type="pct"/>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8000</w:t>
            </w:r>
          </w:p>
        </w:tc>
        <w:tc>
          <w:tcPr>
            <w:tcW w:w="1931" w:type="pct"/>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8000</w:t>
            </w:r>
          </w:p>
        </w:tc>
      </w:tr>
    </w:tbl>
    <w:p>
      <w:pPr>
        <w:widowControl/>
        <w:jc w:val="center"/>
        <w:rPr>
          <w:color w:val="000000"/>
        </w:rPr>
      </w:pPr>
    </w:p>
    <w:p>
      <w:pPr>
        <w:pStyle w:val="3"/>
        <w:rPr>
          <w:sz w:val="32"/>
        </w:rPr>
      </w:pPr>
      <w:bookmarkStart w:id="173" w:name="_Toc509578132"/>
      <w:bookmarkStart w:id="174" w:name="_Toc509578831"/>
      <w:bookmarkStart w:id="175" w:name="_Toc485375056"/>
      <w:bookmarkStart w:id="176" w:name="_Toc97282597"/>
      <w:r>
        <w:rPr>
          <w:sz w:val="32"/>
        </w:rPr>
        <w:t>六偏磷酸钠</w:t>
      </w:r>
      <w:bookmarkEnd w:id="169"/>
      <w:bookmarkEnd w:id="170"/>
      <w:bookmarkEnd w:id="171"/>
      <w:bookmarkEnd w:id="172"/>
      <w:bookmarkEnd w:id="173"/>
      <w:bookmarkEnd w:id="174"/>
      <w:bookmarkEnd w:id="175"/>
      <w:bookmarkEnd w:id="176"/>
      <w:bookmarkStart w:id="177" w:name="_Toc216256681"/>
      <w:bookmarkStart w:id="178" w:name="_Toc264028061"/>
      <w:bookmarkStart w:id="179" w:name="_Toc219890900"/>
    </w:p>
    <w:bookmarkEnd w:id="177"/>
    <w:bookmarkEnd w:id="178"/>
    <w:bookmarkEnd w:id="179"/>
    <w:p>
      <w:pPr>
        <w:pStyle w:val="24"/>
        <w:ind w:firstLine="360" w:firstLineChars="200"/>
        <w:rPr>
          <w:sz w:val="18"/>
          <w:szCs w:val="18"/>
        </w:rPr>
      </w:pPr>
      <w:bookmarkStart w:id="180" w:name="_Toc97282598"/>
      <w:r>
        <w:rPr>
          <w:sz w:val="18"/>
          <w:szCs w:val="18"/>
        </w:rPr>
        <w:t>本周六偏磷酸钠市场暂无波动，交投清淡。目前市场维持淡稳运行，因有一定的稳定客户，故在价格及需求上国内市场不会有明显波动。整体来看，六偏磷酸钠短期不会出现明显变化，市场主流继续持稳。价格方面，目前，四川地区工业级参考在 9400—10000 元/吨;山东地区主流参考价格在 9000—9500 元/吨附近，因各地存在一定的工艺区别，故价格方面有所差异。</w:t>
      </w:r>
    </w:p>
    <w:p>
      <w:pPr>
        <w:pStyle w:val="24"/>
        <w:keepNext w:val="0"/>
        <w:keepLines w:val="0"/>
        <w:widowControl/>
        <w:suppressLineNumbers w:val="0"/>
        <w:ind w:firstLine="360" w:firstLineChars="200"/>
        <w:rPr>
          <w:sz w:val="18"/>
          <w:szCs w:val="18"/>
        </w:rPr>
      </w:pPr>
      <w:r>
        <w:rPr>
          <w:sz w:val="18"/>
          <w:szCs w:val="18"/>
        </w:rPr>
        <w:t>后市预测：预计短期内六偏磷酸钠市场行情延续偏稳定运行，市场供需延续平淡行情，主流企业报价看稳，继续观望原料价格走势。</w:t>
      </w:r>
    </w:p>
    <w:p>
      <w:pPr>
        <w:pStyle w:val="24"/>
        <w:ind w:firstLine="360" w:firstLineChars="200"/>
        <w:rPr>
          <w:sz w:val="18"/>
          <w:szCs w:val="18"/>
        </w:rPr>
      </w:pPr>
    </w:p>
    <w:p>
      <w:pPr>
        <w:pStyle w:val="3"/>
      </w:pPr>
      <w:r>
        <w:rPr>
          <w:rFonts w:hint="eastAsia"/>
          <w:sz w:val="32"/>
        </w:rPr>
        <w:t>六偏磷酸钠价格指数</w:t>
      </w:r>
      <w:bookmarkEnd w:id="180"/>
    </w:p>
    <w:p>
      <w:pPr>
        <w:pStyle w:val="3"/>
        <w:jc w:val="center"/>
        <w:rPr>
          <w:sz w:val="32"/>
        </w:rPr>
      </w:pPr>
    </w:p>
    <w:p>
      <w:pPr>
        <w:jc w:val="center"/>
        <w:sectPr>
          <w:pgSz w:w="11906" w:h="17338"/>
          <w:pgMar w:top="1351" w:right="485" w:bottom="944" w:left="352" w:header="720" w:footer="720" w:gutter="0"/>
          <w:cols w:space="720" w:num="1"/>
        </w:sectPr>
      </w:pPr>
      <w:r>
        <w:drawing>
          <wp:inline distT="0" distB="0" distL="114300" distR="114300">
            <wp:extent cx="4152900" cy="3028950"/>
            <wp:effectExtent l="0" t="0" r="0"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2"/>
                    <a:stretch>
                      <a:fillRect/>
                    </a:stretch>
                  </pic:blipFill>
                  <pic:spPr>
                    <a:xfrm>
                      <a:off x="0" y="0"/>
                      <a:ext cx="4152900" cy="3028950"/>
                    </a:xfrm>
                    <a:prstGeom prst="rect">
                      <a:avLst/>
                    </a:prstGeom>
                    <a:noFill/>
                    <a:ln>
                      <a:noFill/>
                    </a:ln>
                  </pic:spPr>
                </pic:pic>
              </a:graphicData>
            </a:graphic>
          </wp:inline>
        </w:drawing>
      </w:r>
    </w:p>
    <w:p>
      <w:pPr>
        <w:pStyle w:val="3"/>
        <w:rPr>
          <w:sz w:val="32"/>
        </w:rPr>
      </w:pPr>
      <w:bookmarkStart w:id="181" w:name="_Toc273537118"/>
      <w:bookmarkStart w:id="182" w:name="_Toc264028064"/>
      <w:bookmarkStart w:id="183" w:name="_Toc219890903"/>
      <w:bookmarkStart w:id="184" w:name="_Toc216256684"/>
      <w:bookmarkStart w:id="185" w:name="_Toc279764413"/>
      <w:bookmarkStart w:id="186" w:name="_Toc303331876"/>
      <w:bookmarkStart w:id="187" w:name="_Toc485375059"/>
      <w:bookmarkStart w:id="188" w:name="_Toc356563035"/>
      <w:bookmarkStart w:id="189" w:name="_Toc509578833"/>
      <w:bookmarkStart w:id="190" w:name="_Toc509578134"/>
      <w:bookmarkStart w:id="191" w:name="_Toc97282599"/>
      <w:r>
        <w:rPr>
          <w:rFonts w:hint="eastAsia"/>
          <w:sz w:val="32"/>
        </w:rPr>
        <w:t>部分企业六偏磷酸钠出厂价格周汇</w:t>
      </w:r>
      <w:bookmarkEnd w:id="181"/>
      <w:bookmarkEnd w:id="182"/>
      <w:bookmarkEnd w:id="183"/>
      <w:bookmarkEnd w:id="184"/>
      <w:bookmarkEnd w:id="185"/>
      <w:r>
        <w:rPr>
          <w:rFonts w:hint="eastAsia"/>
          <w:sz w:val="32"/>
        </w:rPr>
        <w:t>总</w:t>
      </w:r>
      <w:bookmarkEnd w:id="186"/>
      <w:bookmarkEnd w:id="187"/>
      <w:bookmarkEnd w:id="188"/>
      <w:bookmarkEnd w:id="189"/>
      <w:bookmarkEnd w:id="190"/>
      <w:bookmarkEnd w:id="191"/>
    </w:p>
    <w:tbl>
      <w:tblPr>
        <w:tblStyle w:val="26"/>
        <w:tblW w:w="5000" w:type="pct"/>
        <w:jc w:val="center"/>
        <w:tblLayout w:type="autofit"/>
        <w:tblCellMar>
          <w:top w:w="0" w:type="dxa"/>
          <w:left w:w="108" w:type="dxa"/>
          <w:bottom w:w="0" w:type="dxa"/>
          <w:right w:w="108" w:type="dxa"/>
        </w:tblCellMar>
      </w:tblPr>
      <w:tblGrid>
        <w:gridCol w:w="1277"/>
        <w:gridCol w:w="2391"/>
        <w:gridCol w:w="1278"/>
        <w:gridCol w:w="1278"/>
        <w:gridCol w:w="2035"/>
        <w:gridCol w:w="1658"/>
        <w:gridCol w:w="1658"/>
      </w:tblGrid>
      <w:tr>
        <w:tblPrEx>
          <w:tblCellMar>
            <w:top w:w="0" w:type="dxa"/>
            <w:left w:w="108" w:type="dxa"/>
            <w:bottom w:w="0" w:type="dxa"/>
            <w:right w:w="108" w:type="dxa"/>
          </w:tblCellMar>
        </w:tblPrEx>
        <w:trPr>
          <w:trHeight w:val="390" w:hRule="atLeast"/>
          <w:jc w:val="center"/>
        </w:trPr>
        <w:tc>
          <w:tcPr>
            <w:tcW w:w="552" w:type="pct"/>
            <w:tcBorders>
              <w:top w:val="single" w:color="auto" w:sz="8" w:space="0"/>
              <w:left w:val="single" w:color="auto" w:sz="8" w:space="0"/>
              <w:bottom w:val="single" w:color="auto" w:sz="8" w:space="0"/>
              <w:right w:val="single" w:color="auto" w:sz="8" w:space="0"/>
            </w:tcBorders>
            <w:shd w:val="clear" w:color="auto" w:fill="99CCFF"/>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省市</w:t>
            </w:r>
          </w:p>
        </w:tc>
        <w:tc>
          <w:tcPr>
            <w:tcW w:w="1033" w:type="pct"/>
            <w:tcBorders>
              <w:top w:val="single" w:color="auto" w:sz="8" w:space="0"/>
              <w:left w:val="nil"/>
              <w:bottom w:val="single" w:color="auto" w:sz="8" w:space="0"/>
              <w:right w:val="single" w:color="auto" w:sz="8" w:space="0"/>
            </w:tcBorders>
            <w:shd w:val="clear" w:color="auto" w:fill="99CCFF"/>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企业</w:t>
            </w:r>
          </w:p>
        </w:tc>
        <w:tc>
          <w:tcPr>
            <w:tcW w:w="552" w:type="pct"/>
            <w:tcBorders>
              <w:top w:val="single" w:color="auto" w:sz="8" w:space="0"/>
              <w:left w:val="nil"/>
              <w:bottom w:val="single" w:color="auto" w:sz="8" w:space="0"/>
              <w:right w:val="single" w:color="auto" w:sz="8" w:space="0"/>
            </w:tcBorders>
            <w:shd w:val="clear" w:color="auto" w:fill="99CCFF"/>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含量</w:t>
            </w:r>
          </w:p>
        </w:tc>
        <w:tc>
          <w:tcPr>
            <w:tcW w:w="552" w:type="pct"/>
            <w:tcBorders>
              <w:top w:val="single" w:color="auto" w:sz="8" w:space="0"/>
              <w:left w:val="nil"/>
              <w:bottom w:val="single" w:color="auto" w:sz="8" w:space="0"/>
              <w:right w:val="single" w:color="auto" w:sz="8" w:space="0"/>
            </w:tcBorders>
            <w:shd w:val="clear" w:color="auto" w:fill="99CCFF"/>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类型</w:t>
            </w:r>
          </w:p>
        </w:tc>
        <w:tc>
          <w:tcPr>
            <w:tcW w:w="879" w:type="pct"/>
            <w:tcBorders>
              <w:top w:val="single" w:color="auto" w:sz="8" w:space="0"/>
              <w:left w:val="nil"/>
              <w:bottom w:val="single" w:color="auto" w:sz="8" w:space="0"/>
              <w:right w:val="single" w:color="auto" w:sz="8" w:space="0"/>
            </w:tcBorders>
            <w:shd w:val="clear" w:color="auto" w:fill="99CCFF"/>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备注</w:t>
            </w:r>
          </w:p>
        </w:tc>
        <w:tc>
          <w:tcPr>
            <w:tcW w:w="716" w:type="pct"/>
            <w:tcBorders>
              <w:top w:val="single" w:color="auto" w:sz="8" w:space="0"/>
              <w:left w:val="nil"/>
              <w:bottom w:val="single" w:color="auto" w:sz="8" w:space="0"/>
              <w:right w:val="single" w:color="auto" w:sz="8" w:space="0"/>
            </w:tcBorders>
            <w:shd w:val="clear" w:color="auto" w:fill="99CCFF"/>
            <w:vAlign w:val="center"/>
          </w:tcPr>
          <w:p>
            <w:pPr>
              <w:jc w:val="center"/>
              <w:rPr>
                <w:rFonts w:hint="eastAsia" w:cs="宋体" w:asciiTheme="minorEastAsia" w:hAnsiTheme="minorEastAsia" w:eastAsiaTheme="minorEastAsia"/>
                <w:b/>
                <w:bCs/>
                <w:color w:val="000000"/>
                <w:sz w:val="18"/>
                <w:szCs w:val="18"/>
                <w:lang w:val="en-US" w:eastAsia="zh-CN"/>
              </w:rPr>
            </w:pPr>
            <w:r>
              <w:rPr>
                <w:rFonts w:hint="eastAsia" w:asciiTheme="minorEastAsia" w:hAnsiTheme="minorEastAsia"/>
                <w:b/>
                <w:bCs/>
                <w:color w:val="000000"/>
                <w:sz w:val="18"/>
                <w:szCs w:val="18"/>
              </w:rPr>
              <w:t>2022-</w:t>
            </w:r>
            <w:r>
              <w:rPr>
                <w:rFonts w:hint="eastAsia" w:asciiTheme="minorEastAsia" w:hAnsiTheme="minorEastAsia"/>
                <w:b/>
                <w:bCs/>
                <w:color w:val="000000"/>
                <w:sz w:val="18"/>
                <w:szCs w:val="18"/>
                <w:lang w:val="en-US" w:eastAsia="zh-CN"/>
              </w:rPr>
              <w:t>4</w:t>
            </w:r>
            <w:r>
              <w:rPr>
                <w:rFonts w:hint="eastAsia" w:asciiTheme="minorEastAsia" w:hAnsiTheme="minorEastAsia"/>
                <w:b/>
                <w:bCs/>
                <w:color w:val="000000"/>
                <w:sz w:val="18"/>
                <w:szCs w:val="18"/>
              </w:rPr>
              <w:t>-</w:t>
            </w:r>
            <w:r>
              <w:rPr>
                <w:rFonts w:hint="eastAsia" w:asciiTheme="minorEastAsia" w:hAnsiTheme="minorEastAsia"/>
                <w:b/>
                <w:bCs/>
                <w:color w:val="000000"/>
                <w:sz w:val="18"/>
                <w:szCs w:val="18"/>
                <w:lang w:val="en-US" w:eastAsia="zh-CN"/>
              </w:rPr>
              <w:t>1</w:t>
            </w:r>
          </w:p>
        </w:tc>
        <w:tc>
          <w:tcPr>
            <w:tcW w:w="716" w:type="pct"/>
            <w:tcBorders>
              <w:top w:val="single" w:color="auto" w:sz="8" w:space="0"/>
              <w:left w:val="nil"/>
              <w:bottom w:val="single" w:color="auto" w:sz="8" w:space="0"/>
              <w:right w:val="single" w:color="auto" w:sz="8" w:space="0"/>
            </w:tcBorders>
            <w:shd w:val="clear" w:color="auto" w:fill="99CCFF"/>
            <w:vAlign w:val="center"/>
          </w:tcPr>
          <w:p>
            <w:pPr>
              <w:jc w:val="center"/>
              <w:rPr>
                <w:rFonts w:hint="default" w:cs="宋体" w:asciiTheme="minorEastAsia" w:hAnsiTheme="minorEastAsia" w:eastAsiaTheme="minorEastAsia"/>
                <w:b/>
                <w:bCs/>
                <w:color w:val="000000"/>
                <w:sz w:val="18"/>
                <w:szCs w:val="18"/>
                <w:lang w:val="en-US" w:eastAsia="zh-CN"/>
              </w:rPr>
            </w:pPr>
            <w:r>
              <w:rPr>
                <w:rFonts w:hint="eastAsia" w:asciiTheme="minorEastAsia" w:hAnsiTheme="minorEastAsia"/>
                <w:b/>
                <w:bCs/>
                <w:color w:val="000000"/>
                <w:sz w:val="18"/>
                <w:szCs w:val="18"/>
              </w:rPr>
              <w:t>2022-3-</w:t>
            </w:r>
            <w:r>
              <w:rPr>
                <w:rFonts w:hint="eastAsia" w:asciiTheme="minorEastAsia" w:hAnsiTheme="minorEastAsia"/>
                <w:b/>
                <w:bCs/>
                <w:color w:val="000000"/>
                <w:sz w:val="18"/>
                <w:szCs w:val="18"/>
                <w:lang w:val="en-US" w:eastAsia="zh-CN"/>
              </w:rPr>
              <w:t>25</w:t>
            </w:r>
          </w:p>
        </w:tc>
      </w:tr>
      <w:tr>
        <w:tblPrEx>
          <w:tblCellMar>
            <w:top w:w="0" w:type="dxa"/>
            <w:left w:w="108" w:type="dxa"/>
            <w:bottom w:w="0" w:type="dxa"/>
            <w:right w:w="108" w:type="dxa"/>
          </w:tblCellMar>
        </w:tblPrEx>
        <w:trPr>
          <w:trHeight w:val="435" w:hRule="atLeast"/>
          <w:jc w:val="center"/>
        </w:trPr>
        <w:tc>
          <w:tcPr>
            <w:tcW w:w="552" w:type="pct"/>
            <w:vMerge w:val="restart"/>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天津</w:t>
            </w:r>
          </w:p>
        </w:tc>
        <w:tc>
          <w:tcPr>
            <w:tcW w:w="1033" w:type="pct"/>
            <w:vMerge w:val="restart"/>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荣宏化工</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食品</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restart"/>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山东</w:t>
            </w:r>
          </w:p>
        </w:tc>
        <w:tc>
          <w:tcPr>
            <w:tcW w:w="1033"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广汇化工</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出厂含税价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青州科缔化工</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出厂含税价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青州振华化工</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出厂含税价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10000</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10000</w:t>
            </w:r>
          </w:p>
        </w:tc>
      </w:tr>
      <w:tr>
        <w:tblPrEx>
          <w:tblCellMar>
            <w:top w:w="0" w:type="dxa"/>
            <w:left w:w="108" w:type="dxa"/>
            <w:bottom w:w="0" w:type="dxa"/>
            <w:right w:w="108" w:type="dxa"/>
          </w:tblCellMar>
        </w:tblPrEx>
        <w:trPr>
          <w:trHeight w:val="390" w:hRule="atLeast"/>
          <w:jc w:val="center"/>
        </w:trPr>
        <w:tc>
          <w:tcPr>
            <w:tcW w:w="552" w:type="pct"/>
            <w:vMerge w:val="restart"/>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湖北</w:t>
            </w:r>
          </w:p>
        </w:tc>
        <w:tc>
          <w:tcPr>
            <w:tcW w:w="1033" w:type="pct"/>
            <w:vMerge w:val="restart"/>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兴发集团</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出厂含税价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食品</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出厂含税价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tcBorders>
              <w:top w:val="nil"/>
              <w:left w:val="single" w:color="auto" w:sz="8" w:space="0"/>
              <w:bottom w:val="nil"/>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河南</w:t>
            </w:r>
          </w:p>
        </w:tc>
        <w:tc>
          <w:tcPr>
            <w:tcW w:w="1033" w:type="pct"/>
            <w:tcBorders>
              <w:top w:val="nil"/>
              <w:left w:val="nil"/>
              <w:bottom w:val="nil"/>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新乡华幸化工</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出厂含税价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restart"/>
            <w:tcBorders>
              <w:top w:val="single" w:color="auto" w:sz="8" w:space="0"/>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贵州</w:t>
            </w:r>
          </w:p>
        </w:tc>
        <w:tc>
          <w:tcPr>
            <w:tcW w:w="1033" w:type="pct"/>
            <w:vMerge w:val="restart"/>
            <w:tcBorders>
              <w:top w:val="single" w:color="auto" w:sz="8" w:space="0"/>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华捷化工</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食品</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restart"/>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四川</w:t>
            </w:r>
          </w:p>
        </w:tc>
        <w:tc>
          <w:tcPr>
            <w:tcW w:w="1033" w:type="pct"/>
            <w:vMerge w:val="restart"/>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蓝剑集团</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13000</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13000</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食品</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tcBorders>
              <w:top w:val="nil"/>
              <w:left w:val="nil"/>
              <w:bottom w:val="nil"/>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金地亚美</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食品</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vMerge w:val="restart"/>
            <w:tcBorders>
              <w:top w:val="single" w:color="auto" w:sz="8" w:space="0"/>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启明星</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11000</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11000</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食品</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华丰化工</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天津港FOB</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42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vMerge w:val="restart"/>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圣地亚化工</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广州提货价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1620</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1620</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食品</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黄埔港FOB</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color w:val="000000"/>
                <w:sz w:val="18"/>
                <w:szCs w:val="18"/>
              </w:rPr>
            </w:pPr>
          </w:p>
        </w:tc>
        <w:tc>
          <w:tcPr>
            <w:tcW w:w="1033"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四川金石</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出厂含税价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CellMar>
            <w:top w:w="0" w:type="dxa"/>
            <w:left w:w="108" w:type="dxa"/>
            <w:bottom w:w="0" w:type="dxa"/>
            <w:right w:w="108" w:type="dxa"/>
          </w:tblCellMar>
        </w:tblPrEx>
        <w:trPr>
          <w:trHeight w:val="390" w:hRule="atLeast"/>
          <w:jc w:val="center"/>
        </w:trPr>
        <w:tc>
          <w:tcPr>
            <w:tcW w:w="552" w:type="pct"/>
            <w:tcBorders>
              <w:top w:val="nil"/>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云南</w:t>
            </w:r>
          </w:p>
        </w:tc>
        <w:tc>
          <w:tcPr>
            <w:tcW w:w="1033"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南滇化工</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w:t>
            </w:r>
          </w:p>
        </w:tc>
        <w:tc>
          <w:tcPr>
            <w:tcW w:w="552"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工业</w:t>
            </w:r>
          </w:p>
        </w:tc>
        <w:tc>
          <w:tcPr>
            <w:tcW w:w="879" w:type="pct"/>
            <w:tcBorders>
              <w:top w:val="nil"/>
              <w:left w:val="nil"/>
              <w:bottom w:val="single" w:color="auto" w:sz="8" w:space="0"/>
              <w:right w:val="single" w:color="auto" w:sz="8" w:space="0"/>
            </w:tcBorders>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出厂含税价</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9</w:t>
            </w:r>
            <w:r>
              <w:rPr>
                <w:rFonts w:hint="eastAsia" w:asciiTheme="minorEastAsia" w:hAnsiTheme="minorEastAsia"/>
                <w:sz w:val="18"/>
                <w:szCs w:val="18"/>
                <w:lang w:val="en-US" w:eastAsia="zh-CN"/>
              </w:rPr>
              <w:t>3</w:t>
            </w:r>
            <w:r>
              <w:rPr>
                <w:rFonts w:hint="eastAsia" w:asciiTheme="minorEastAsia" w:hAnsiTheme="minorEastAsia"/>
                <w:sz w:val="18"/>
                <w:szCs w:val="18"/>
              </w:rPr>
              <w:t>00</w:t>
            </w:r>
          </w:p>
        </w:tc>
        <w:tc>
          <w:tcPr>
            <w:tcW w:w="716" w:type="pct"/>
            <w:tcBorders>
              <w:top w:val="nil"/>
              <w:left w:val="nil"/>
              <w:bottom w:val="single" w:color="auto" w:sz="8" w:space="0"/>
              <w:right w:val="single" w:color="auto" w:sz="8" w:space="0"/>
            </w:tcBorders>
            <w:vAlign w:val="center"/>
          </w:tcPr>
          <w:p>
            <w:pPr>
              <w:jc w:val="center"/>
              <w:rPr>
                <w:rFonts w:cs="宋体" w:asciiTheme="minorEastAsia" w:hAnsiTheme="minorEastAsia"/>
                <w:sz w:val="18"/>
                <w:szCs w:val="18"/>
              </w:rPr>
            </w:pPr>
            <w:r>
              <w:rPr>
                <w:rFonts w:hint="eastAsia" w:asciiTheme="minorEastAsia" w:hAnsiTheme="minorEastAsia"/>
                <w:sz w:val="18"/>
                <w:szCs w:val="18"/>
              </w:rPr>
              <w:t>9100</w:t>
            </w:r>
          </w:p>
        </w:tc>
      </w:tr>
    </w:tbl>
    <w:p>
      <w:pPr>
        <w:spacing w:line="360" w:lineRule="auto"/>
        <w:ind w:firstLine="2100" w:firstLineChars="1000"/>
        <w:rPr>
          <w:color w:val="000000"/>
        </w:rPr>
      </w:pPr>
    </w:p>
    <w:p>
      <w:pPr>
        <w:pStyle w:val="40"/>
        <w:spacing w:before="0" w:after="0"/>
        <w:rPr>
          <w:rFonts w:eastAsia="宋体"/>
          <w:color w:val="000000"/>
          <w:sz w:val="24"/>
          <w:szCs w:val="24"/>
        </w:rPr>
      </w:pPr>
      <w:bookmarkStart w:id="192" w:name="_Toc356563036"/>
      <w:bookmarkStart w:id="193" w:name="_Toc485375060"/>
    </w:p>
    <w:p>
      <w:pPr>
        <w:pStyle w:val="3"/>
        <w:rPr>
          <w:sz w:val="32"/>
        </w:rPr>
      </w:pPr>
      <w:bookmarkStart w:id="194" w:name="_Toc509578135"/>
      <w:bookmarkStart w:id="195" w:name="_Toc509578834"/>
      <w:bookmarkStart w:id="196" w:name="_Toc97282600"/>
      <w:r>
        <w:rPr>
          <w:rFonts w:hint="eastAsia"/>
          <w:sz w:val="32"/>
        </w:rPr>
        <w:t>国内工业六偏磷酸钠区域价格周汇总</w:t>
      </w:r>
      <w:bookmarkEnd w:id="192"/>
      <w:bookmarkEnd w:id="193"/>
      <w:bookmarkEnd w:id="194"/>
      <w:bookmarkEnd w:id="195"/>
      <w:bookmarkEnd w:id="196"/>
    </w:p>
    <w:p>
      <w:pPr>
        <w:ind w:right="420" w:firstLine="8925" w:firstLineChars="4250"/>
        <w:rPr>
          <w:color w:val="000000"/>
        </w:rPr>
      </w:pPr>
      <w:r>
        <w:rPr>
          <w:rFonts w:hint="eastAsia"/>
          <w:color w:val="000000"/>
        </w:rPr>
        <w:t>单位：元/吨</w:t>
      </w:r>
    </w:p>
    <w:p>
      <w:pPr>
        <w:rPr>
          <w:color w:val="000000"/>
        </w:rPr>
      </w:pPr>
    </w:p>
    <w:tbl>
      <w:tblPr>
        <w:tblStyle w:val="26"/>
        <w:tblW w:w="5000" w:type="pct"/>
        <w:jc w:val="center"/>
        <w:tblLayout w:type="autofit"/>
        <w:tblCellMar>
          <w:top w:w="0" w:type="dxa"/>
          <w:left w:w="108" w:type="dxa"/>
          <w:bottom w:w="0" w:type="dxa"/>
          <w:right w:w="108" w:type="dxa"/>
        </w:tblCellMar>
      </w:tblPr>
      <w:tblGrid>
        <w:gridCol w:w="2875"/>
        <w:gridCol w:w="3901"/>
        <w:gridCol w:w="4799"/>
      </w:tblGrid>
      <w:tr>
        <w:tblPrEx>
          <w:tblCellMar>
            <w:top w:w="0" w:type="dxa"/>
            <w:left w:w="108" w:type="dxa"/>
            <w:bottom w:w="0" w:type="dxa"/>
            <w:right w:w="108" w:type="dxa"/>
          </w:tblCellMar>
        </w:tblPrEx>
        <w:trPr>
          <w:trHeight w:val="300" w:hRule="atLeast"/>
          <w:jc w:val="center"/>
        </w:trPr>
        <w:tc>
          <w:tcPr>
            <w:tcW w:w="1242" w:type="pct"/>
            <w:tcBorders>
              <w:top w:val="single" w:color="auto" w:sz="8" w:space="0"/>
              <w:left w:val="single" w:color="auto" w:sz="8" w:space="0"/>
              <w:bottom w:val="single" w:color="auto" w:sz="8" w:space="0"/>
              <w:right w:val="single" w:color="auto" w:sz="8" w:space="0"/>
            </w:tcBorders>
            <w:shd w:val="clear" w:color="auto" w:fill="99CCFF"/>
            <w:vAlign w:val="center"/>
          </w:tcPr>
          <w:p>
            <w:pPr>
              <w:widowControl/>
              <w:jc w:val="center"/>
              <w:rPr>
                <w:rFonts w:cs="华文仿宋" w:asciiTheme="minorEastAsia" w:hAnsiTheme="minorEastAsia"/>
                <w:sz w:val="18"/>
                <w:szCs w:val="18"/>
              </w:rPr>
            </w:pPr>
            <w:r>
              <w:rPr>
                <w:rFonts w:hint="eastAsia" w:cs="华文仿宋" w:asciiTheme="minorEastAsia" w:hAnsiTheme="minorEastAsia"/>
                <w:sz w:val="18"/>
                <w:szCs w:val="18"/>
              </w:rPr>
              <w:t>区域</w:t>
            </w:r>
          </w:p>
        </w:tc>
        <w:tc>
          <w:tcPr>
            <w:tcW w:w="1685" w:type="pct"/>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rPr>
                <w:rFonts w:hint="default" w:cs="华文仿宋" w:asciiTheme="minorEastAsia" w:hAnsiTheme="minorEastAsia" w:eastAsiaTheme="minorEastAsia"/>
                <w:sz w:val="18"/>
                <w:szCs w:val="18"/>
                <w:lang w:val="en-US" w:eastAsia="zh-CN"/>
              </w:rPr>
            </w:pPr>
            <w:r>
              <w:rPr>
                <w:rFonts w:hint="eastAsia" w:cs="华文仿宋" w:asciiTheme="minorEastAsia" w:hAnsiTheme="minorEastAsia"/>
                <w:sz w:val="18"/>
                <w:szCs w:val="18"/>
              </w:rPr>
              <w:t>2022-</w:t>
            </w:r>
            <w:r>
              <w:rPr>
                <w:rFonts w:hint="eastAsia" w:cs="华文仿宋" w:asciiTheme="minorEastAsia" w:hAnsiTheme="minorEastAsia"/>
                <w:sz w:val="18"/>
                <w:szCs w:val="18"/>
                <w:lang w:val="en-US" w:eastAsia="zh-CN"/>
              </w:rPr>
              <w:t>4</w:t>
            </w:r>
            <w:r>
              <w:rPr>
                <w:rFonts w:hint="eastAsia" w:cs="华文仿宋" w:asciiTheme="minorEastAsia" w:hAnsiTheme="minorEastAsia"/>
                <w:sz w:val="18"/>
                <w:szCs w:val="18"/>
              </w:rPr>
              <w:t>-</w:t>
            </w:r>
            <w:r>
              <w:rPr>
                <w:rFonts w:hint="eastAsia" w:cs="华文仿宋" w:asciiTheme="minorEastAsia" w:hAnsiTheme="minorEastAsia"/>
                <w:sz w:val="18"/>
                <w:szCs w:val="18"/>
                <w:lang w:val="en-US" w:eastAsia="zh-CN"/>
              </w:rPr>
              <w:t>1</w:t>
            </w:r>
          </w:p>
        </w:tc>
        <w:tc>
          <w:tcPr>
            <w:tcW w:w="2073" w:type="pct"/>
            <w:tcBorders>
              <w:top w:val="single" w:color="auto" w:sz="4" w:space="0"/>
              <w:left w:val="nil"/>
              <w:bottom w:val="single" w:color="auto" w:sz="4" w:space="0"/>
              <w:right w:val="single" w:color="auto" w:sz="4" w:space="0"/>
            </w:tcBorders>
            <w:shd w:val="clear" w:color="auto" w:fill="99CCFF"/>
            <w:vAlign w:val="center"/>
          </w:tcPr>
          <w:p>
            <w:pPr>
              <w:widowControl/>
              <w:jc w:val="center"/>
              <w:rPr>
                <w:rFonts w:hint="default" w:cs="华文仿宋" w:asciiTheme="minorEastAsia" w:hAnsiTheme="minorEastAsia" w:eastAsiaTheme="minorEastAsia"/>
                <w:sz w:val="18"/>
                <w:szCs w:val="18"/>
                <w:lang w:val="en-US" w:eastAsia="zh-CN"/>
              </w:rPr>
            </w:pPr>
            <w:r>
              <w:rPr>
                <w:rFonts w:hint="eastAsia" w:cs="华文仿宋" w:asciiTheme="minorEastAsia" w:hAnsiTheme="minorEastAsia"/>
                <w:sz w:val="18"/>
                <w:szCs w:val="18"/>
              </w:rPr>
              <w:t>2022-</w:t>
            </w:r>
            <w:r>
              <w:rPr>
                <w:rFonts w:hint="eastAsia" w:cs="华文仿宋" w:asciiTheme="minorEastAsia" w:hAnsiTheme="minorEastAsia"/>
                <w:sz w:val="18"/>
                <w:szCs w:val="18"/>
                <w:lang w:val="en-US" w:eastAsia="zh-CN"/>
              </w:rPr>
              <w:t>3</w:t>
            </w:r>
            <w:bookmarkStart w:id="214" w:name="_GoBack"/>
            <w:bookmarkEnd w:id="214"/>
            <w:r>
              <w:rPr>
                <w:rFonts w:hint="eastAsia" w:cs="华文仿宋" w:asciiTheme="minorEastAsia" w:hAnsiTheme="minorEastAsia"/>
                <w:sz w:val="18"/>
                <w:szCs w:val="18"/>
              </w:rPr>
              <w:t>-</w:t>
            </w:r>
            <w:r>
              <w:rPr>
                <w:rFonts w:hint="eastAsia" w:cs="华文仿宋" w:asciiTheme="minorEastAsia" w:hAnsiTheme="minorEastAsia"/>
                <w:sz w:val="18"/>
                <w:szCs w:val="18"/>
                <w:lang w:val="en-US" w:eastAsia="zh-CN"/>
              </w:rPr>
              <w:t>25</w:t>
            </w:r>
          </w:p>
        </w:tc>
      </w:tr>
      <w:tr>
        <w:tblPrEx>
          <w:tblCellMar>
            <w:top w:w="0" w:type="dxa"/>
            <w:left w:w="108" w:type="dxa"/>
            <w:bottom w:w="0" w:type="dxa"/>
            <w:right w:w="108" w:type="dxa"/>
          </w:tblCellMar>
        </w:tblPrEx>
        <w:trPr>
          <w:trHeight w:val="300" w:hRule="atLeast"/>
          <w:jc w:val="center"/>
        </w:trPr>
        <w:tc>
          <w:tcPr>
            <w:tcW w:w="1242" w:type="pct"/>
            <w:tcBorders>
              <w:top w:val="nil"/>
              <w:left w:val="single" w:color="auto" w:sz="8" w:space="0"/>
              <w:bottom w:val="single" w:color="auto" w:sz="8" w:space="0"/>
              <w:right w:val="single" w:color="auto" w:sz="8" w:space="0"/>
            </w:tcBorders>
            <w:vAlign w:val="center"/>
          </w:tcPr>
          <w:p>
            <w:pPr>
              <w:widowControl/>
              <w:jc w:val="center"/>
              <w:rPr>
                <w:rFonts w:cs="华文仿宋" w:asciiTheme="minorEastAsia" w:hAnsiTheme="minorEastAsia"/>
                <w:sz w:val="18"/>
                <w:szCs w:val="18"/>
              </w:rPr>
            </w:pPr>
            <w:r>
              <w:rPr>
                <w:rFonts w:hint="eastAsia" w:cs="华文仿宋" w:asciiTheme="minorEastAsia" w:hAnsiTheme="minorEastAsia"/>
                <w:sz w:val="18"/>
                <w:szCs w:val="18"/>
              </w:rPr>
              <w:t>四川</w:t>
            </w:r>
          </w:p>
        </w:tc>
        <w:tc>
          <w:tcPr>
            <w:tcW w:w="1685" w:type="pct"/>
            <w:tcBorders>
              <w:top w:val="nil"/>
              <w:left w:val="nil"/>
              <w:bottom w:val="single" w:color="auto" w:sz="8" w:space="0"/>
              <w:right w:val="single" w:color="auto" w:sz="8" w:space="0"/>
            </w:tcBorders>
            <w:vAlign w:val="center"/>
          </w:tcPr>
          <w:p>
            <w:pPr>
              <w:widowControl/>
              <w:jc w:val="center"/>
              <w:rPr>
                <w:rFonts w:cs="华文仿宋" w:asciiTheme="minorEastAsia" w:hAnsiTheme="minorEastAsia"/>
                <w:sz w:val="18"/>
                <w:szCs w:val="18"/>
              </w:rPr>
            </w:pPr>
            <w:r>
              <w:rPr>
                <w:rFonts w:hint="eastAsia" w:cs="华文仿宋" w:asciiTheme="minorEastAsia" w:hAnsiTheme="minorEastAsia"/>
                <w:sz w:val="18"/>
                <w:szCs w:val="18"/>
              </w:rPr>
              <w:t>9800</w:t>
            </w:r>
          </w:p>
        </w:tc>
        <w:tc>
          <w:tcPr>
            <w:tcW w:w="2073" w:type="pct"/>
            <w:tcBorders>
              <w:top w:val="nil"/>
              <w:left w:val="nil"/>
              <w:bottom w:val="single" w:color="auto" w:sz="8" w:space="0"/>
              <w:right w:val="single" w:color="auto" w:sz="8" w:space="0"/>
            </w:tcBorders>
            <w:vAlign w:val="center"/>
          </w:tcPr>
          <w:p>
            <w:pPr>
              <w:widowControl/>
              <w:jc w:val="center"/>
              <w:rPr>
                <w:rFonts w:cs="华文仿宋" w:asciiTheme="minorEastAsia" w:hAnsiTheme="minorEastAsia"/>
                <w:sz w:val="18"/>
                <w:szCs w:val="18"/>
              </w:rPr>
            </w:pPr>
            <w:r>
              <w:rPr>
                <w:rFonts w:hint="eastAsia" w:cs="华文仿宋" w:asciiTheme="minorEastAsia" w:hAnsiTheme="minorEastAsia"/>
                <w:sz w:val="18"/>
                <w:szCs w:val="18"/>
              </w:rPr>
              <w:t>9800</w:t>
            </w:r>
          </w:p>
        </w:tc>
      </w:tr>
      <w:tr>
        <w:tblPrEx>
          <w:tblCellMar>
            <w:top w:w="0" w:type="dxa"/>
            <w:left w:w="108" w:type="dxa"/>
            <w:bottom w:w="0" w:type="dxa"/>
            <w:right w:w="108" w:type="dxa"/>
          </w:tblCellMar>
        </w:tblPrEx>
        <w:trPr>
          <w:trHeight w:val="300" w:hRule="atLeast"/>
          <w:jc w:val="center"/>
        </w:trPr>
        <w:tc>
          <w:tcPr>
            <w:tcW w:w="1242" w:type="pct"/>
            <w:tcBorders>
              <w:top w:val="nil"/>
              <w:left w:val="single" w:color="auto" w:sz="8" w:space="0"/>
              <w:bottom w:val="single" w:color="auto" w:sz="8" w:space="0"/>
              <w:right w:val="single" w:color="auto" w:sz="8" w:space="0"/>
            </w:tcBorders>
            <w:vAlign w:val="center"/>
          </w:tcPr>
          <w:p>
            <w:pPr>
              <w:widowControl/>
              <w:jc w:val="center"/>
              <w:rPr>
                <w:rFonts w:cs="华文仿宋" w:asciiTheme="minorEastAsia" w:hAnsiTheme="minorEastAsia"/>
                <w:sz w:val="18"/>
                <w:szCs w:val="18"/>
              </w:rPr>
            </w:pPr>
            <w:r>
              <w:rPr>
                <w:rFonts w:hint="eastAsia" w:cs="华文仿宋" w:asciiTheme="minorEastAsia" w:hAnsiTheme="minorEastAsia"/>
                <w:sz w:val="18"/>
                <w:szCs w:val="18"/>
              </w:rPr>
              <w:t>江苏</w:t>
            </w:r>
          </w:p>
        </w:tc>
        <w:tc>
          <w:tcPr>
            <w:tcW w:w="1685" w:type="pct"/>
            <w:tcBorders>
              <w:top w:val="nil"/>
              <w:left w:val="nil"/>
              <w:bottom w:val="single" w:color="auto" w:sz="8" w:space="0"/>
              <w:right w:val="single" w:color="auto" w:sz="8" w:space="0"/>
            </w:tcBorders>
            <w:vAlign w:val="center"/>
          </w:tcPr>
          <w:p>
            <w:pPr>
              <w:widowControl/>
              <w:jc w:val="center"/>
              <w:rPr>
                <w:rFonts w:cs="华文仿宋" w:asciiTheme="minorEastAsia" w:hAnsiTheme="minorEastAsia"/>
                <w:sz w:val="18"/>
                <w:szCs w:val="18"/>
              </w:rPr>
            </w:pPr>
            <w:r>
              <w:rPr>
                <w:rFonts w:hint="eastAsia" w:cs="华文仿宋" w:asciiTheme="minorEastAsia" w:hAnsiTheme="minorEastAsia"/>
                <w:sz w:val="18"/>
                <w:szCs w:val="18"/>
                <w:lang w:val="en-US" w:eastAsia="zh-CN"/>
              </w:rPr>
              <w:t>100</w:t>
            </w:r>
            <w:r>
              <w:rPr>
                <w:rFonts w:hint="eastAsia" w:cs="华文仿宋" w:asciiTheme="minorEastAsia" w:hAnsiTheme="minorEastAsia"/>
                <w:sz w:val="18"/>
                <w:szCs w:val="18"/>
              </w:rPr>
              <w:t>00</w:t>
            </w:r>
          </w:p>
        </w:tc>
        <w:tc>
          <w:tcPr>
            <w:tcW w:w="2073" w:type="pct"/>
            <w:tcBorders>
              <w:top w:val="nil"/>
              <w:left w:val="nil"/>
              <w:bottom w:val="single" w:color="auto" w:sz="8" w:space="0"/>
              <w:right w:val="single" w:color="auto" w:sz="8" w:space="0"/>
            </w:tcBorders>
            <w:vAlign w:val="center"/>
          </w:tcPr>
          <w:p>
            <w:pPr>
              <w:widowControl/>
              <w:jc w:val="center"/>
              <w:rPr>
                <w:rFonts w:cs="华文仿宋" w:asciiTheme="minorEastAsia" w:hAnsiTheme="minorEastAsia"/>
                <w:sz w:val="18"/>
                <w:szCs w:val="18"/>
              </w:rPr>
            </w:pPr>
            <w:r>
              <w:rPr>
                <w:rFonts w:hint="eastAsia" w:cs="华文仿宋" w:asciiTheme="minorEastAsia" w:hAnsiTheme="minorEastAsia"/>
                <w:sz w:val="18"/>
                <w:szCs w:val="18"/>
              </w:rPr>
              <w:t>9500</w:t>
            </w:r>
          </w:p>
        </w:tc>
      </w:tr>
    </w:tbl>
    <w:p>
      <w:pPr>
        <w:spacing w:line="360" w:lineRule="auto"/>
        <w:rPr>
          <w:color w:val="000000"/>
        </w:rPr>
        <w:sectPr>
          <w:pgSz w:w="11906" w:h="17338"/>
          <w:pgMar w:top="1351" w:right="195" w:bottom="944" w:left="352" w:header="720" w:footer="720" w:gutter="0"/>
          <w:cols w:space="720" w:num="1"/>
        </w:sectPr>
      </w:pPr>
    </w:p>
    <w:bookmarkEnd w:id="153"/>
    <w:bookmarkEnd w:id="154"/>
    <w:bookmarkEnd w:id="155"/>
    <w:p>
      <w:pPr>
        <w:jc w:val="center"/>
      </w:pPr>
      <w:bookmarkStart w:id="197" w:name="_草甘膦_"/>
      <w:bookmarkEnd w:id="197"/>
    </w:p>
    <w:p>
      <w:pPr>
        <w:pStyle w:val="3"/>
        <w:ind w:left="-567" w:leftChars="-270"/>
        <w:jc w:val="left"/>
        <w:rPr>
          <w:sz w:val="32"/>
        </w:rPr>
      </w:pPr>
      <w:bookmarkStart w:id="198" w:name="_Toc509578144"/>
      <w:bookmarkStart w:id="199" w:name="_Toc509578843"/>
      <w:bookmarkStart w:id="200" w:name="_Toc97282601"/>
      <w:r>
        <w:rPr>
          <w:sz w:val="32"/>
        </w:rPr>
        <w:t>氢钙</w:t>
      </w:r>
      <w:bookmarkEnd w:id="198"/>
      <w:bookmarkEnd w:id="199"/>
      <w:bookmarkEnd w:id="200"/>
    </w:p>
    <w:p>
      <w:pPr>
        <w:pStyle w:val="3"/>
        <w:ind w:left="-567" w:leftChars="-270"/>
        <w:jc w:val="left"/>
        <w:rPr>
          <w:sz w:val="32"/>
        </w:rPr>
      </w:pPr>
      <w:bookmarkStart w:id="201" w:name="_Toc97282602"/>
      <w:r>
        <w:rPr>
          <w:sz w:val="32"/>
        </w:rPr>
        <w:t>中国</w:t>
      </w:r>
      <w:r>
        <w:rPr>
          <w:rFonts w:hint="eastAsia"/>
          <w:sz w:val="32"/>
        </w:rPr>
        <w:t>磷酸氢钙</w:t>
      </w:r>
      <w:r>
        <w:rPr>
          <w:sz w:val="32"/>
        </w:rPr>
        <w:t>市场一周评述及后市预测</w:t>
      </w:r>
      <w:bookmarkEnd w:id="201"/>
    </w:p>
    <w:p>
      <w:pPr>
        <w:pStyle w:val="24"/>
        <w:ind w:firstLine="360" w:firstLineChars="200"/>
        <w:rPr>
          <w:sz w:val="18"/>
          <w:szCs w:val="18"/>
        </w:rPr>
      </w:pPr>
      <w:r>
        <w:rPr>
          <w:sz w:val="18"/>
          <w:szCs w:val="18"/>
        </w:rPr>
        <w:t>本周磷酸氢钙市场价格再度走高，但成交量较为稀少。在经历上周云南地区硫酸价格大幅上涨之后，本周云南主产区磷酸氢钙企业陆续报价大幅调涨，场内主流接单价上涨至3600元/吨左右，但下游需求低迷，实际市场新单成交量较为稀少，以零星小单为主。</w:t>
      </w:r>
    </w:p>
    <w:p>
      <w:pPr>
        <w:pStyle w:val="24"/>
        <w:ind w:firstLine="360" w:firstLineChars="200"/>
        <w:rPr>
          <w:sz w:val="18"/>
          <w:szCs w:val="18"/>
        </w:rPr>
      </w:pPr>
      <w:r>
        <w:rPr>
          <w:sz w:val="18"/>
          <w:szCs w:val="18"/>
        </w:rPr>
        <w:t>后市预测：短期内磷酸氢钙市场局部地区行情看涨。企业主发前期预收订单，终端行情低迷，促使下游提货，采购积极性较差，企业出货较慢，交货周期拉长。长期来看，饲料产业上下游矛盾突出，养殖行业低迷到让人无法想象，猪价下跌至低位，全行业普遍进入深亏，需求端的利空影响不容忽视。磷酸氢钙市场高价运行主要来自于硫酸价格持续上涨的利好带动，而目前市场供需矛盾突出，若后期硫酸价格回落，磷酸氢钙市场价格将出现随之回调的风险。</w:t>
      </w:r>
    </w:p>
    <w:p>
      <w:pPr>
        <w:pStyle w:val="24"/>
        <w:ind w:firstLine="360" w:firstLineChars="200"/>
        <w:rPr>
          <w:sz w:val="18"/>
          <w:szCs w:val="18"/>
        </w:rPr>
      </w:pPr>
    </w:p>
    <w:p>
      <w:pPr>
        <w:spacing w:line="360" w:lineRule="auto"/>
        <w:ind w:firstLine="420" w:firstLineChars="200"/>
      </w:pPr>
    </w:p>
    <w:p>
      <w:pPr>
        <w:jc w:val="center"/>
      </w:pPr>
      <w:r>
        <w:rPr>
          <w:rFonts w:ascii="宋体" w:hAnsi="宋体" w:cs="宋体"/>
          <w:sz w:val="24"/>
          <w:szCs w:val="24"/>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r>
        <w:rPr>
          <w:bdr w:val="single" w:sz="4" w:space="0"/>
        </w:rPr>
        <w:drawing>
          <wp:inline distT="0" distB="0" distL="114300" distR="114300">
            <wp:extent cx="4000500" cy="3028950"/>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13"/>
                    <a:stretch>
                      <a:fillRect/>
                    </a:stretch>
                  </pic:blipFill>
                  <pic:spPr>
                    <a:xfrm>
                      <a:off x="0" y="0"/>
                      <a:ext cx="4000500" cy="3028950"/>
                    </a:xfrm>
                    <a:prstGeom prst="rect">
                      <a:avLst/>
                    </a:prstGeom>
                    <a:noFill/>
                    <a:ln>
                      <a:noFill/>
                    </a:ln>
                  </pic:spPr>
                </pic:pic>
              </a:graphicData>
            </a:graphic>
          </wp:inline>
        </w:drawing>
      </w:r>
    </w:p>
    <w:p>
      <w:r>
        <w:rPr>
          <w:rFonts w:hint="eastAsia"/>
          <w:lang w:val="en-US" w:eastAsia="zh-CN"/>
        </w:rPr>
        <w:t xml:space="preserve">               </w:t>
      </w:r>
    </w:p>
    <w:p/>
    <w:p/>
    <w:p/>
    <w:p>
      <w:pPr>
        <w:pStyle w:val="3"/>
        <w:ind w:left="-424" w:leftChars="-202"/>
      </w:pPr>
      <w:bookmarkStart w:id="202" w:name="_Toc509578146"/>
      <w:bookmarkStart w:id="203" w:name="_Toc509578845"/>
      <w:bookmarkStart w:id="204" w:name="_Toc97282603"/>
      <w:r>
        <w:rPr>
          <w:rFonts w:hint="eastAsia"/>
        </w:rPr>
        <w:t>本周部分企业氢钙出厂报价周汇总</w:t>
      </w:r>
      <w:bookmarkEnd w:id="202"/>
      <w:bookmarkEnd w:id="203"/>
      <w:bookmarkEnd w:id="204"/>
    </w:p>
    <w:p>
      <w:r>
        <w:rPr>
          <w:rFonts w:hint="eastAsia"/>
        </w:rPr>
        <w:t>单位：元/吨</w:t>
      </w:r>
    </w:p>
    <w:p/>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227"/>
        <w:gridCol w:w="947"/>
        <w:gridCol w:w="947"/>
        <w:gridCol w:w="1162"/>
        <w:gridCol w:w="1437"/>
        <w:gridCol w:w="1148"/>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shd w:val="clear" w:color="auto" w:fill="99CCFF"/>
            <w:vAlign w:val="center"/>
          </w:tcPr>
          <w:p>
            <w:pPr>
              <w:widowControl/>
              <w:jc w:val="center"/>
              <w:textAlignment w:val="center"/>
              <w:rPr>
                <w:rFonts w:cs="华文仿宋" w:asciiTheme="minorEastAsia" w:hAnsiTheme="minorEastAsia"/>
                <w:b/>
                <w:color w:val="000000"/>
                <w:kern w:val="0"/>
                <w:sz w:val="18"/>
                <w:szCs w:val="18"/>
              </w:rPr>
            </w:pPr>
            <w:r>
              <w:rPr>
                <w:rFonts w:hint="eastAsia" w:cs="华文仿宋" w:asciiTheme="minorEastAsia" w:hAnsiTheme="minorEastAsia"/>
                <w:b/>
                <w:color w:val="000000"/>
                <w:kern w:val="0"/>
                <w:sz w:val="18"/>
                <w:szCs w:val="18"/>
              </w:rPr>
              <w:t>省市</w:t>
            </w:r>
          </w:p>
        </w:tc>
        <w:tc>
          <w:tcPr>
            <w:tcW w:w="1118" w:type="pct"/>
            <w:shd w:val="clear" w:color="auto" w:fill="99CCFF"/>
            <w:vAlign w:val="center"/>
          </w:tcPr>
          <w:p>
            <w:pPr>
              <w:widowControl/>
              <w:jc w:val="center"/>
              <w:textAlignment w:val="center"/>
              <w:rPr>
                <w:rFonts w:cs="华文仿宋" w:asciiTheme="minorEastAsia" w:hAnsiTheme="minorEastAsia"/>
                <w:b/>
                <w:color w:val="000000"/>
                <w:kern w:val="0"/>
                <w:sz w:val="18"/>
                <w:szCs w:val="18"/>
              </w:rPr>
            </w:pPr>
            <w:r>
              <w:rPr>
                <w:rFonts w:hint="eastAsia" w:cs="华文仿宋" w:asciiTheme="minorEastAsia" w:hAnsiTheme="minorEastAsia"/>
                <w:b/>
                <w:color w:val="000000"/>
                <w:kern w:val="0"/>
                <w:sz w:val="18"/>
                <w:szCs w:val="18"/>
              </w:rPr>
              <w:t>企业</w:t>
            </w:r>
          </w:p>
        </w:tc>
        <w:tc>
          <w:tcPr>
            <w:tcW w:w="475" w:type="pct"/>
            <w:shd w:val="clear" w:color="auto" w:fill="99CCFF"/>
            <w:vAlign w:val="center"/>
          </w:tcPr>
          <w:p>
            <w:pPr>
              <w:widowControl/>
              <w:jc w:val="center"/>
              <w:textAlignment w:val="center"/>
              <w:rPr>
                <w:rFonts w:cs="华文仿宋" w:asciiTheme="minorEastAsia" w:hAnsiTheme="minorEastAsia"/>
                <w:b/>
                <w:color w:val="000000"/>
                <w:kern w:val="0"/>
                <w:sz w:val="18"/>
                <w:szCs w:val="18"/>
              </w:rPr>
            </w:pPr>
            <w:r>
              <w:rPr>
                <w:rFonts w:hint="eastAsia" w:cs="华文仿宋" w:asciiTheme="minorEastAsia" w:hAnsiTheme="minorEastAsia"/>
                <w:b/>
                <w:color w:val="000000"/>
                <w:kern w:val="0"/>
                <w:sz w:val="18"/>
                <w:szCs w:val="18"/>
              </w:rPr>
              <w:t>产品</w:t>
            </w:r>
          </w:p>
        </w:tc>
        <w:tc>
          <w:tcPr>
            <w:tcW w:w="475" w:type="pct"/>
            <w:shd w:val="clear" w:color="auto" w:fill="99CCFF"/>
            <w:vAlign w:val="center"/>
          </w:tcPr>
          <w:p>
            <w:pPr>
              <w:widowControl/>
              <w:jc w:val="center"/>
              <w:textAlignment w:val="center"/>
              <w:rPr>
                <w:rFonts w:cs="华文仿宋" w:asciiTheme="minorEastAsia" w:hAnsiTheme="minorEastAsia"/>
                <w:b/>
                <w:color w:val="000000"/>
                <w:kern w:val="0"/>
                <w:sz w:val="18"/>
                <w:szCs w:val="18"/>
              </w:rPr>
            </w:pPr>
            <w:r>
              <w:rPr>
                <w:rFonts w:hint="eastAsia" w:cs="华文仿宋" w:asciiTheme="minorEastAsia" w:hAnsiTheme="minorEastAsia"/>
                <w:b/>
                <w:color w:val="000000"/>
                <w:kern w:val="0"/>
                <w:sz w:val="18"/>
                <w:szCs w:val="18"/>
              </w:rPr>
              <w:t>类型</w:t>
            </w:r>
          </w:p>
        </w:tc>
        <w:tc>
          <w:tcPr>
            <w:tcW w:w="583" w:type="pct"/>
            <w:shd w:val="clear" w:color="auto" w:fill="99CCFF"/>
            <w:vAlign w:val="center"/>
          </w:tcPr>
          <w:p>
            <w:pPr>
              <w:widowControl/>
              <w:jc w:val="center"/>
              <w:textAlignment w:val="center"/>
              <w:rPr>
                <w:rFonts w:cs="华文仿宋" w:asciiTheme="minorEastAsia" w:hAnsiTheme="minorEastAsia"/>
                <w:b/>
                <w:color w:val="000000"/>
                <w:kern w:val="0"/>
                <w:sz w:val="18"/>
                <w:szCs w:val="18"/>
              </w:rPr>
            </w:pPr>
            <w:r>
              <w:rPr>
                <w:rFonts w:hint="eastAsia" w:cs="华文仿宋" w:asciiTheme="minorEastAsia" w:hAnsiTheme="minorEastAsia"/>
                <w:b/>
                <w:color w:val="000000"/>
                <w:kern w:val="0"/>
                <w:sz w:val="18"/>
                <w:szCs w:val="18"/>
              </w:rPr>
              <w:t>含量</w:t>
            </w:r>
          </w:p>
        </w:tc>
        <w:tc>
          <w:tcPr>
            <w:tcW w:w="721" w:type="pct"/>
            <w:shd w:val="clear" w:color="auto" w:fill="99CCFF"/>
            <w:vAlign w:val="center"/>
          </w:tcPr>
          <w:p>
            <w:pPr>
              <w:widowControl/>
              <w:jc w:val="center"/>
              <w:textAlignment w:val="center"/>
              <w:rPr>
                <w:rFonts w:cs="华文仿宋" w:asciiTheme="minorEastAsia" w:hAnsiTheme="minorEastAsia"/>
                <w:b/>
                <w:color w:val="000000"/>
                <w:kern w:val="0"/>
                <w:sz w:val="18"/>
                <w:szCs w:val="18"/>
              </w:rPr>
            </w:pPr>
            <w:r>
              <w:rPr>
                <w:rFonts w:hint="eastAsia" w:cs="华文仿宋" w:asciiTheme="minorEastAsia" w:hAnsiTheme="minorEastAsia"/>
                <w:b/>
                <w:color w:val="000000"/>
                <w:kern w:val="0"/>
                <w:sz w:val="18"/>
                <w:szCs w:val="18"/>
              </w:rPr>
              <w:t>备注</w:t>
            </w:r>
          </w:p>
        </w:tc>
        <w:tc>
          <w:tcPr>
            <w:tcW w:w="576" w:type="pct"/>
            <w:shd w:val="clear" w:color="auto" w:fill="99CCFF"/>
            <w:vAlign w:val="center"/>
          </w:tcPr>
          <w:p>
            <w:pPr>
              <w:jc w:val="center"/>
              <w:rPr>
                <w:rFonts w:hint="eastAsia" w:cs="宋体" w:asciiTheme="minorEastAsia" w:hAnsiTheme="minorEastAsia" w:eastAsiaTheme="minorEastAsia"/>
                <w:b/>
                <w:bCs/>
                <w:color w:val="000000"/>
                <w:sz w:val="18"/>
                <w:szCs w:val="18"/>
                <w:lang w:val="en-US" w:eastAsia="zh-CN"/>
              </w:rPr>
            </w:pPr>
            <w:r>
              <w:rPr>
                <w:rFonts w:hint="eastAsia" w:asciiTheme="minorEastAsia" w:hAnsiTheme="minorEastAsia"/>
                <w:b/>
                <w:bCs/>
                <w:color w:val="000000"/>
                <w:sz w:val="18"/>
                <w:szCs w:val="18"/>
              </w:rPr>
              <w:t>2022-</w:t>
            </w:r>
            <w:r>
              <w:rPr>
                <w:rFonts w:hint="eastAsia" w:asciiTheme="minorEastAsia" w:hAnsiTheme="minorEastAsia"/>
                <w:b/>
                <w:bCs/>
                <w:color w:val="000000"/>
                <w:sz w:val="18"/>
                <w:szCs w:val="18"/>
                <w:lang w:val="en-US" w:eastAsia="zh-CN"/>
              </w:rPr>
              <w:t>4</w:t>
            </w:r>
            <w:r>
              <w:rPr>
                <w:rFonts w:hint="eastAsia" w:asciiTheme="minorEastAsia" w:hAnsiTheme="minorEastAsia"/>
                <w:b/>
                <w:bCs/>
                <w:color w:val="000000"/>
                <w:sz w:val="18"/>
                <w:szCs w:val="18"/>
              </w:rPr>
              <w:t>-</w:t>
            </w:r>
            <w:r>
              <w:rPr>
                <w:rFonts w:hint="eastAsia" w:asciiTheme="minorEastAsia" w:hAnsiTheme="minorEastAsia"/>
                <w:b/>
                <w:bCs/>
                <w:color w:val="000000"/>
                <w:sz w:val="18"/>
                <w:szCs w:val="18"/>
                <w:lang w:val="en-US" w:eastAsia="zh-CN"/>
              </w:rPr>
              <w:t>1</w:t>
            </w:r>
          </w:p>
        </w:tc>
        <w:tc>
          <w:tcPr>
            <w:tcW w:w="576" w:type="pct"/>
            <w:shd w:val="clear" w:color="auto" w:fill="99CCFF"/>
            <w:vAlign w:val="center"/>
          </w:tcPr>
          <w:p>
            <w:pPr>
              <w:jc w:val="center"/>
              <w:rPr>
                <w:rFonts w:hint="default" w:cs="宋体" w:asciiTheme="minorEastAsia" w:hAnsiTheme="minorEastAsia" w:eastAsiaTheme="minorEastAsia"/>
                <w:b/>
                <w:bCs/>
                <w:color w:val="000000"/>
                <w:sz w:val="18"/>
                <w:szCs w:val="18"/>
                <w:lang w:val="en-US" w:eastAsia="zh-CN"/>
              </w:rPr>
            </w:pPr>
            <w:r>
              <w:rPr>
                <w:rFonts w:hint="eastAsia" w:asciiTheme="minorEastAsia" w:hAnsiTheme="minorEastAsia"/>
                <w:b/>
                <w:bCs/>
                <w:color w:val="000000"/>
                <w:sz w:val="18"/>
                <w:szCs w:val="18"/>
              </w:rPr>
              <w:t>2022-3-</w:t>
            </w:r>
            <w:r>
              <w:rPr>
                <w:rFonts w:hint="eastAsia" w:asciiTheme="minorEastAsia" w:hAnsiTheme="minorEastAsia"/>
                <w:b/>
                <w:bCs/>
                <w:color w:val="000000"/>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河北</w:t>
            </w:r>
          </w:p>
        </w:tc>
        <w:tc>
          <w:tcPr>
            <w:tcW w:w="1118"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石家庄右岸</w:t>
            </w:r>
          </w:p>
        </w:tc>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17%颗粒</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18%粉状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18%颗粒</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江苏</w:t>
            </w:r>
          </w:p>
        </w:tc>
        <w:tc>
          <w:tcPr>
            <w:tcW w:w="1118"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德邦精细</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二氢钙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食品</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食品</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泰达精细</w:t>
            </w:r>
          </w:p>
        </w:tc>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食品</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rPr>
                <w:rFonts w:cs="宋体" w:asciiTheme="minorEastAsia" w:hAnsiTheme="minorEastAsia"/>
                <w:sz w:val="18"/>
                <w:szCs w:val="18"/>
              </w:rPr>
            </w:pPr>
          </w:p>
        </w:tc>
        <w:tc>
          <w:tcPr>
            <w:tcW w:w="576" w:type="pct"/>
            <w:vAlign w:val="center"/>
          </w:tcPr>
          <w:p>
            <w:pP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无水</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二氢钙</w:t>
            </w:r>
          </w:p>
        </w:tc>
        <w:tc>
          <w:tcPr>
            <w:tcW w:w="475" w:type="pct"/>
            <w:vMerge w:val="continue"/>
            <w:vAlign w:val="center"/>
          </w:tcPr>
          <w:p>
            <w:pPr>
              <w:pStyle w:val="24"/>
              <w:rPr>
                <w:rFonts w:asciiTheme="minorEastAsia" w:hAnsiTheme="minorEastAsia" w:eastAsiaTheme="minorEastAsia"/>
                <w:sz w:val="18"/>
                <w:szCs w:val="18"/>
              </w:rPr>
            </w:pP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无水</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二氢钙</w:t>
            </w:r>
          </w:p>
        </w:tc>
        <w:tc>
          <w:tcPr>
            <w:tcW w:w="475" w:type="pct"/>
            <w:vMerge w:val="continue"/>
            <w:vAlign w:val="center"/>
          </w:tcPr>
          <w:p>
            <w:pPr>
              <w:pStyle w:val="24"/>
              <w:rPr>
                <w:rFonts w:asciiTheme="minorEastAsia" w:hAnsiTheme="minorEastAsia" w:eastAsiaTheme="minorEastAsia"/>
                <w:sz w:val="18"/>
                <w:szCs w:val="18"/>
              </w:rPr>
            </w:pP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三钙</w:t>
            </w:r>
          </w:p>
        </w:tc>
        <w:tc>
          <w:tcPr>
            <w:tcW w:w="475" w:type="pct"/>
            <w:vMerge w:val="continue"/>
            <w:vAlign w:val="center"/>
          </w:tcPr>
          <w:p>
            <w:pPr>
              <w:pStyle w:val="24"/>
              <w:rPr>
                <w:rFonts w:asciiTheme="minorEastAsia" w:hAnsiTheme="minorEastAsia" w:eastAsiaTheme="minorEastAsia"/>
                <w:sz w:val="18"/>
                <w:szCs w:val="18"/>
              </w:rPr>
            </w:pP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连云港东洲</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17%颗粒</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18%粉状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18%颗粒</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三钙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一二钙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21%颗粒</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南京泛欧磷酸氢钙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18%粉状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连云港</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18%颗粒</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连云港发到价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磷酸三钙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连云港</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新磷矿化</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山东</w:t>
            </w: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青州金通</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16.5粉状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湖北</w:t>
            </w: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聚鑫</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楚襄化工</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广西</w:t>
            </w: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桂兴</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鑫益</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3150</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四川</w:t>
            </w: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川恒</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二氢钙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金鸿饲料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3300</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绵竹盘龙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2800</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二氢钙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22%粉状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绵竹三佳</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3400</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天丰饲料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龙蟒</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3000</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汉源</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2950</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四川路林</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四川鸿鹤精细化工</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攀枝花东立化工</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宏达化工</w:t>
            </w:r>
          </w:p>
        </w:tc>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475" w:type="pct"/>
            <w:vMerge w:val="continue"/>
            <w:vAlign w:val="center"/>
          </w:tcPr>
          <w:p>
            <w:pPr>
              <w:pStyle w:val="24"/>
              <w:rPr>
                <w:rFonts w:asciiTheme="minorEastAsia" w:hAnsiTheme="minorEastAsia" w:eastAsiaTheme="minorEastAsia"/>
                <w:sz w:val="18"/>
                <w:szCs w:val="18"/>
              </w:rPr>
            </w:pP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18%颗粒</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云南</w:t>
            </w: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川金诺</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富民世翔</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2900</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金地</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磷化集团</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一二钙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禄丰天宝磷化工</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17%粉状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贵州</w:t>
            </w:r>
          </w:p>
        </w:tc>
        <w:tc>
          <w:tcPr>
            <w:tcW w:w="1118" w:type="pct"/>
            <w:vMerge w:val="restar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贵州云福</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二氢钙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Merge w:val="continue"/>
            <w:vAlign w:val="center"/>
          </w:tcPr>
          <w:p>
            <w:pPr>
              <w:pStyle w:val="24"/>
              <w:rPr>
                <w:rFonts w:asciiTheme="minorEastAsia" w:hAnsiTheme="minorEastAsia" w:eastAsiaTheme="minorEastAsia"/>
                <w:sz w:val="18"/>
                <w:szCs w:val="18"/>
              </w:rPr>
            </w:pP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氢钙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16.5%粉状</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贵州瓮安龙腾</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三钙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5" w:type="pct"/>
            <w:vMerge w:val="continue"/>
            <w:vAlign w:val="center"/>
          </w:tcPr>
          <w:p>
            <w:pPr>
              <w:pStyle w:val="24"/>
              <w:rPr>
                <w:rFonts w:asciiTheme="minorEastAsia" w:hAnsiTheme="minorEastAsia" w:eastAsiaTheme="minorEastAsia"/>
                <w:sz w:val="18"/>
                <w:szCs w:val="18"/>
              </w:rPr>
            </w:pPr>
          </w:p>
        </w:tc>
        <w:tc>
          <w:tcPr>
            <w:tcW w:w="1118"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瓮福小野田</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三钙</w:t>
            </w:r>
          </w:p>
        </w:tc>
        <w:tc>
          <w:tcPr>
            <w:tcW w:w="475"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饲料</w:t>
            </w:r>
          </w:p>
        </w:tc>
        <w:tc>
          <w:tcPr>
            <w:tcW w:w="583"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721" w:type="pct"/>
            <w:vAlign w:val="center"/>
          </w:tcPr>
          <w:p>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出厂价</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c>
          <w:tcPr>
            <w:tcW w:w="576" w:type="pct"/>
            <w:vAlign w:val="center"/>
          </w:tcPr>
          <w:p>
            <w:pPr>
              <w:jc w:val="center"/>
              <w:rPr>
                <w:rFonts w:cs="宋体" w:asciiTheme="minorEastAsia" w:hAnsiTheme="minorEastAsia"/>
                <w:sz w:val="18"/>
                <w:szCs w:val="18"/>
              </w:rPr>
            </w:pPr>
            <w:r>
              <w:rPr>
                <w:rFonts w:hint="eastAsia" w:asciiTheme="minorEastAsia" w:hAnsiTheme="minorEastAsia"/>
                <w:sz w:val="18"/>
                <w:szCs w:val="18"/>
              </w:rPr>
              <w:t>-</w:t>
            </w:r>
          </w:p>
        </w:tc>
      </w:tr>
      <w:bookmarkEnd w:id="5"/>
      <w:bookmarkEnd w:id="137"/>
      <w:bookmarkEnd w:id="138"/>
    </w:tbl>
    <w:p>
      <w:pPr>
        <w:pStyle w:val="2"/>
        <w:rPr>
          <w:rFonts w:ascii="Cambria" w:hAnsi="Cambria" w:eastAsia="宋体"/>
          <w:kern w:val="2"/>
          <w:sz w:val="28"/>
          <w:szCs w:val="32"/>
        </w:rPr>
      </w:pPr>
      <w:bookmarkStart w:id="205" w:name="_Toc317251717"/>
      <w:bookmarkStart w:id="206" w:name="_Toc333587819"/>
      <w:bookmarkStart w:id="207" w:name="_Toc440031103"/>
      <w:bookmarkStart w:id="208" w:name="_Toc71895941"/>
      <w:bookmarkStart w:id="209" w:name="_Toc504071467"/>
      <w:bookmarkStart w:id="210" w:name="_Toc97282604"/>
      <w:r>
        <w:rPr>
          <w:rFonts w:ascii="Cambria" w:hAnsi="Cambria" w:eastAsia="宋体"/>
          <w:kern w:val="2"/>
          <w:sz w:val="28"/>
          <w:szCs w:val="32"/>
        </w:rPr>
        <w:t>声明</w:t>
      </w:r>
      <w:bookmarkEnd w:id="205"/>
      <w:bookmarkEnd w:id="206"/>
      <w:bookmarkEnd w:id="207"/>
      <w:bookmarkEnd w:id="208"/>
      <w:bookmarkEnd w:id="209"/>
      <w:bookmarkEnd w:id="210"/>
    </w:p>
    <w:p>
      <w:pPr>
        <w:pStyle w:val="24"/>
        <w:spacing w:line="360" w:lineRule="auto"/>
        <w:ind w:firstLine="360" w:firstLineChars="200"/>
        <w:rPr>
          <w:sz w:val="18"/>
          <w:szCs w:val="18"/>
        </w:rPr>
      </w:pPr>
      <w:r>
        <w:rPr>
          <w:rFonts w:hint="eastAsia"/>
          <w:sz w:val="18"/>
          <w:szCs w:val="18"/>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pStyle w:val="24"/>
        <w:spacing w:line="360" w:lineRule="auto"/>
        <w:ind w:firstLine="360" w:firstLineChars="200"/>
        <w:rPr>
          <w:sz w:val="18"/>
          <w:szCs w:val="18"/>
        </w:rPr>
      </w:pPr>
      <w:r>
        <w:rPr>
          <w:rFonts w:hint="eastAsia"/>
          <w:sz w:val="18"/>
          <w:szCs w:val="18"/>
        </w:rPr>
        <w:t>因产品的市场行情及其价格会因不同市场因素而变化，因此本报告只为我们的客户提供参考，并不干预或参与客户的商业决策或决定，对于客户如何使用此报告本公司不负任何责任。</w:t>
      </w:r>
    </w:p>
    <w:p/>
    <w:sectPr>
      <w:headerReference r:id="rId3" w:type="default"/>
      <w:footerReference r:id="rId4"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0"/>
      </w:rPr>
    </w:pPr>
    <w:r>
      <w:fldChar w:fldCharType="begin"/>
    </w:r>
    <w:r>
      <w:rPr>
        <w:rStyle w:val="30"/>
      </w:rPr>
      <w:instrText xml:space="preserve">PAGE  </w:instrText>
    </w:r>
    <w:r>
      <w:fldChar w:fldCharType="separate"/>
    </w:r>
    <w:r>
      <w:rPr>
        <w:rStyle w:val="30"/>
      </w:rPr>
      <w:t>17</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r>
      <w:pict>
        <v:shape id="图片 7" o:spid="_x0000_s1025" o:spt="75" alt="内页.jpg" type="#_x0000_t75" style="position:absolute;left:0pt;margin-left:-53.8pt;margin-top:-41.5pt;height:842.25pt;width:594.6pt;z-index:-251657216;mso-width-relative:page;mso-height-relative:page;" filled="f" o:preferrelative="t" stroked="f" coordsize="21600,21600">
          <v:path/>
          <v:fill on="f" focussize="0,0"/>
          <v:stroke on="f" joinstyle="miter"/>
          <v:imagedata r:id="rId1" o:title="内页"/>
          <o:lock v:ext="edit" aspectratio="t"/>
        </v:shape>
      </w:pict>
    </w:r>
  </w:p>
  <w:p>
    <w:pPr>
      <w:pStyle w:val="16"/>
      <w:pBdr>
        <w:bottom w:val="none" w:color="auto" w:sz="0" w:space="0"/>
      </w:pBdr>
    </w:pPr>
  </w:p>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7307"/>
    <w:rsid w:val="00004680"/>
    <w:rsid w:val="00005FB4"/>
    <w:rsid w:val="000063BA"/>
    <w:rsid w:val="00015F92"/>
    <w:rsid w:val="00021D4E"/>
    <w:rsid w:val="0003078A"/>
    <w:rsid w:val="0004092A"/>
    <w:rsid w:val="00053230"/>
    <w:rsid w:val="00056578"/>
    <w:rsid w:val="00062F26"/>
    <w:rsid w:val="00063299"/>
    <w:rsid w:val="000632EC"/>
    <w:rsid w:val="000810AF"/>
    <w:rsid w:val="00092CB7"/>
    <w:rsid w:val="000A5D0D"/>
    <w:rsid w:val="000B001C"/>
    <w:rsid w:val="000B6B21"/>
    <w:rsid w:val="000B7CA5"/>
    <w:rsid w:val="000D6346"/>
    <w:rsid w:val="000D78E1"/>
    <w:rsid w:val="00104790"/>
    <w:rsid w:val="001048D7"/>
    <w:rsid w:val="00110699"/>
    <w:rsid w:val="00122B1F"/>
    <w:rsid w:val="00130F9B"/>
    <w:rsid w:val="00134075"/>
    <w:rsid w:val="00135422"/>
    <w:rsid w:val="0015116A"/>
    <w:rsid w:val="00156D6F"/>
    <w:rsid w:val="00171D4B"/>
    <w:rsid w:val="001824E4"/>
    <w:rsid w:val="00183C13"/>
    <w:rsid w:val="00191DAB"/>
    <w:rsid w:val="001953B6"/>
    <w:rsid w:val="001A1094"/>
    <w:rsid w:val="001A42C1"/>
    <w:rsid w:val="001B2A5F"/>
    <w:rsid w:val="001B6DAA"/>
    <w:rsid w:val="001C292A"/>
    <w:rsid w:val="001C49C1"/>
    <w:rsid w:val="001E1211"/>
    <w:rsid w:val="001E7690"/>
    <w:rsid w:val="001F1278"/>
    <w:rsid w:val="0020540D"/>
    <w:rsid w:val="0021513A"/>
    <w:rsid w:val="002206EF"/>
    <w:rsid w:val="00225D07"/>
    <w:rsid w:val="00226527"/>
    <w:rsid w:val="00242DF2"/>
    <w:rsid w:val="00245A36"/>
    <w:rsid w:val="00245D73"/>
    <w:rsid w:val="00247003"/>
    <w:rsid w:val="0027133D"/>
    <w:rsid w:val="00277930"/>
    <w:rsid w:val="002853B4"/>
    <w:rsid w:val="00291657"/>
    <w:rsid w:val="002A25A0"/>
    <w:rsid w:val="002A4C05"/>
    <w:rsid w:val="002B2B88"/>
    <w:rsid w:val="002C3FB6"/>
    <w:rsid w:val="002C701D"/>
    <w:rsid w:val="002D5ED0"/>
    <w:rsid w:val="002F09B9"/>
    <w:rsid w:val="002F771E"/>
    <w:rsid w:val="002F7F10"/>
    <w:rsid w:val="0030394D"/>
    <w:rsid w:val="00306991"/>
    <w:rsid w:val="00307D02"/>
    <w:rsid w:val="003161D8"/>
    <w:rsid w:val="003335F7"/>
    <w:rsid w:val="00335E41"/>
    <w:rsid w:val="00354FDD"/>
    <w:rsid w:val="00357FB8"/>
    <w:rsid w:val="00365192"/>
    <w:rsid w:val="003700FF"/>
    <w:rsid w:val="003727AD"/>
    <w:rsid w:val="0039435D"/>
    <w:rsid w:val="00397D96"/>
    <w:rsid w:val="003A20CA"/>
    <w:rsid w:val="003A583C"/>
    <w:rsid w:val="003A6CBE"/>
    <w:rsid w:val="003C4FA7"/>
    <w:rsid w:val="003F2526"/>
    <w:rsid w:val="003F6DCA"/>
    <w:rsid w:val="003F7307"/>
    <w:rsid w:val="00407939"/>
    <w:rsid w:val="00412FF1"/>
    <w:rsid w:val="004147D0"/>
    <w:rsid w:val="004344AA"/>
    <w:rsid w:val="004771E5"/>
    <w:rsid w:val="004968FD"/>
    <w:rsid w:val="00497716"/>
    <w:rsid w:val="004A4321"/>
    <w:rsid w:val="004A6FB0"/>
    <w:rsid w:val="004B23F2"/>
    <w:rsid w:val="004C4F03"/>
    <w:rsid w:val="004C79A2"/>
    <w:rsid w:val="004E54F3"/>
    <w:rsid w:val="004F09C0"/>
    <w:rsid w:val="004F21E8"/>
    <w:rsid w:val="004F5DF0"/>
    <w:rsid w:val="00510692"/>
    <w:rsid w:val="00521435"/>
    <w:rsid w:val="00526EF6"/>
    <w:rsid w:val="00531A2A"/>
    <w:rsid w:val="00531A33"/>
    <w:rsid w:val="00532CF0"/>
    <w:rsid w:val="00537DDD"/>
    <w:rsid w:val="00556606"/>
    <w:rsid w:val="00560E22"/>
    <w:rsid w:val="00581DBA"/>
    <w:rsid w:val="005A1AE7"/>
    <w:rsid w:val="005C0222"/>
    <w:rsid w:val="005C6AA2"/>
    <w:rsid w:val="005C6C24"/>
    <w:rsid w:val="005D4986"/>
    <w:rsid w:val="005D706E"/>
    <w:rsid w:val="005D7B45"/>
    <w:rsid w:val="005E6E83"/>
    <w:rsid w:val="00605BC9"/>
    <w:rsid w:val="00611CD1"/>
    <w:rsid w:val="006268C3"/>
    <w:rsid w:val="00653075"/>
    <w:rsid w:val="006760B0"/>
    <w:rsid w:val="00686C2D"/>
    <w:rsid w:val="00692365"/>
    <w:rsid w:val="00697BA3"/>
    <w:rsid w:val="006B0361"/>
    <w:rsid w:val="006B2173"/>
    <w:rsid w:val="006E1B8A"/>
    <w:rsid w:val="007065A3"/>
    <w:rsid w:val="00727334"/>
    <w:rsid w:val="007364DA"/>
    <w:rsid w:val="00740E63"/>
    <w:rsid w:val="0074593C"/>
    <w:rsid w:val="0075774E"/>
    <w:rsid w:val="007700D7"/>
    <w:rsid w:val="007704A7"/>
    <w:rsid w:val="00770BAD"/>
    <w:rsid w:val="007806BB"/>
    <w:rsid w:val="00784B24"/>
    <w:rsid w:val="00785467"/>
    <w:rsid w:val="0078771F"/>
    <w:rsid w:val="00794B0B"/>
    <w:rsid w:val="007A4ACE"/>
    <w:rsid w:val="007B18B6"/>
    <w:rsid w:val="007B3FE3"/>
    <w:rsid w:val="007C5EAD"/>
    <w:rsid w:val="007C7B3B"/>
    <w:rsid w:val="007D30F7"/>
    <w:rsid w:val="007D6ADF"/>
    <w:rsid w:val="007E0622"/>
    <w:rsid w:val="007E2818"/>
    <w:rsid w:val="007E48FB"/>
    <w:rsid w:val="00806102"/>
    <w:rsid w:val="00806B27"/>
    <w:rsid w:val="00811EDB"/>
    <w:rsid w:val="00812D74"/>
    <w:rsid w:val="00824970"/>
    <w:rsid w:val="00854BB9"/>
    <w:rsid w:val="00867FC7"/>
    <w:rsid w:val="0087297B"/>
    <w:rsid w:val="00873600"/>
    <w:rsid w:val="00873747"/>
    <w:rsid w:val="0088232E"/>
    <w:rsid w:val="00894184"/>
    <w:rsid w:val="00895CA1"/>
    <w:rsid w:val="008B3964"/>
    <w:rsid w:val="008D792D"/>
    <w:rsid w:val="008E4244"/>
    <w:rsid w:val="008E5D3B"/>
    <w:rsid w:val="008E5F87"/>
    <w:rsid w:val="008F4086"/>
    <w:rsid w:val="008F7E92"/>
    <w:rsid w:val="0090059E"/>
    <w:rsid w:val="00903EEB"/>
    <w:rsid w:val="00903FB1"/>
    <w:rsid w:val="00910B33"/>
    <w:rsid w:val="00911E4B"/>
    <w:rsid w:val="00915673"/>
    <w:rsid w:val="00920853"/>
    <w:rsid w:val="00921350"/>
    <w:rsid w:val="00931ABB"/>
    <w:rsid w:val="0094523A"/>
    <w:rsid w:val="00950652"/>
    <w:rsid w:val="00954AA7"/>
    <w:rsid w:val="00963543"/>
    <w:rsid w:val="009671F2"/>
    <w:rsid w:val="009734CA"/>
    <w:rsid w:val="009756F5"/>
    <w:rsid w:val="00975FCF"/>
    <w:rsid w:val="00990CE1"/>
    <w:rsid w:val="009944EB"/>
    <w:rsid w:val="00995D76"/>
    <w:rsid w:val="00996289"/>
    <w:rsid w:val="009B427E"/>
    <w:rsid w:val="009D0B9B"/>
    <w:rsid w:val="009E3C15"/>
    <w:rsid w:val="009F724F"/>
    <w:rsid w:val="00A11A36"/>
    <w:rsid w:val="00A132F9"/>
    <w:rsid w:val="00A13D68"/>
    <w:rsid w:val="00A22AAC"/>
    <w:rsid w:val="00A24D7B"/>
    <w:rsid w:val="00A2558F"/>
    <w:rsid w:val="00A267D5"/>
    <w:rsid w:val="00A31AE2"/>
    <w:rsid w:val="00A46B61"/>
    <w:rsid w:val="00A56B19"/>
    <w:rsid w:val="00A5722A"/>
    <w:rsid w:val="00A6218E"/>
    <w:rsid w:val="00A74A32"/>
    <w:rsid w:val="00A80417"/>
    <w:rsid w:val="00A839F9"/>
    <w:rsid w:val="00AB4A4A"/>
    <w:rsid w:val="00AC23C8"/>
    <w:rsid w:val="00AC61E4"/>
    <w:rsid w:val="00AE0EE0"/>
    <w:rsid w:val="00AF2979"/>
    <w:rsid w:val="00AF3342"/>
    <w:rsid w:val="00AF493B"/>
    <w:rsid w:val="00B327D5"/>
    <w:rsid w:val="00B45204"/>
    <w:rsid w:val="00B502A2"/>
    <w:rsid w:val="00B55881"/>
    <w:rsid w:val="00B7497E"/>
    <w:rsid w:val="00B876C5"/>
    <w:rsid w:val="00B90153"/>
    <w:rsid w:val="00B906C5"/>
    <w:rsid w:val="00B9192D"/>
    <w:rsid w:val="00BA3A07"/>
    <w:rsid w:val="00BA653E"/>
    <w:rsid w:val="00BA7AEF"/>
    <w:rsid w:val="00BF7BFB"/>
    <w:rsid w:val="00C0535C"/>
    <w:rsid w:val="00C3091D"/>
    <w:rsid w:val="00C400A5"/>
    <w:rsid w:val="00C41C3B"/>
    <w:rsid w:val="00C433BD"/>
    <w:rsid w:val="00C45218"/>
    <w:rsid w:val="00C50883"/>
    <w:rsid w:val="00C72523"/>
    <w:rsid w:val="00C83616"/>
    <w:rsid w:val="00C87773"/>
    <w:rsid w:val="00CA3FC5"/>
    <w:rsid w:val="00CB2157"/>
    <w:rsid w:val="00CB3AB4"/>
    <w:rsid w:val="00CD71B6"/>
    <w:rsid w:val="00CE4CDF"/>
    <w:rsid w:val="00CF4B8D"/>
    <w:rsid w:val="00CF523F"/>
    <w:rsid w:val="00D000F2"/>
    <w:rsid w:val="00D0579F"/>
    <w:rsid w:val="00D05A28"/>
    <w:rsid w:val="00D06488"/>
    <w:rsid w:val="00D20725"/>
    <w:rsid w:val="00D2174F"/>
    <w:rsid w:val="00D266DC"/>
    <w:rsid w:val="00D311BB"/>
    <w:rsid w:val="00D41B95"/>
    <w:rsid w:val="00D64400"/>
    <w:rsid w:val="00D76B77"/>
    <w:rsid w:val="00D82626"/>
    <w:rsid w:val="00D853FF"/>
    <w:rsid w:val="00DC1C76"/>
    <w:rsid w:val="00DC21EF"/>
    <w:rsid w:val="00DD53D0"/>
    <w:rsid w:val="00DD6C0E"/>
    <w:rsid w:val="00DE6CDA"/>
    <w:rsid w:val="00DF75E5"/>
    <w:rsid w:val="00E031A0"/>
    <w:rsid w:val="00E070C9"/>
    <w:rsid w:val="00E100C9"/>
    <w:rsid w:val="00E251DD"/>
    <w:rsid w:val="00E50FC9"/>
    <w:rsid w:val="00E53A9A"/>
    <w:rsid w:val="00E64CCF"/>
    <w:rsid w:val="00E84961"/>
    <w:rsid w:val="00EA0152"/>
    <w:rsid w:val="00EB055B"/>
    <w:rsid w:val="00EC5CB8"/>
    <w:rsid w:val="00EF1DD6"/>
    <w:rsid w:val="00EF3D18"/>
    <w:rsid w:val="00F136F0"/>
    <w:rsid w:val="00F200E2"/>
    <w:rsid w:val="00F2323D"/>
    <w:rsid w:val="00F31287"/>
    <w:rsid w:val="00F315B9"/>
    <w:rsid w:val="00F37FDE"/>
    <w:rsid w:val="00F41EEB"/>
    <w:rsid w:val="00F44DC0"/>
    <w:rsid w:val="00F45805"/>
    <w:rsid w:val="00F60BCB"/>
    <w:rsid w:val="00F60EDE"/>
    <w:rsid w:val="00F734D0"/>
    <w:rsid w:val="00F73841"/>
    <w:rsid w:val="00F81700"/>
    <w:rsid w:val="00F920A9"/>
    <w:rsid w:val="00F9361D"/>
    <w:rsid w:val="00FB426B"/>
    <w:rsid w:val="00FC1508"/>
    <w:rsid w:val="00FC4149"/>
    <w:rsid w:val="00FD6694"/>
    <w:rsid w:val="01EF42F6"/>
    <w:rsid w:val="05324586"/>
    <w:rsid w:val="06242235"/>
    <w:rsid w:val="113F7D64"/>
    <w:rsid w:val="17BF5F86"/>
    <w:rsid w:val="1A512CBE"/>
    <w:rsid w:val="1B41592A"/>
    <w:rsid w:val="1BA258A0"/>
    <w:rsid w:val="1E544A18"/>
    <w:rsid w:val="1E865324"/>
    <w:rsid w:val="240D6DBE"/>
    <w:rsid w:val="28170628"/>
    <w:rsid w:val="28A2705F"/>
    <w:rsid w:val="2BBA2D13"/>
    <w:rsid w:val="2E1E5EF8"/>
    <w:rsid w:val="2EA2519F"/>
    <w:rsid w:val="2FAA4EE7"/>
    <w:rsid w:val="356068E5"/>
    <w:rsid w:val="364676D7"/>
    <w:rsid w:val="37A65BC2"/>
    <w:rsid w:val="37B866AF"/>
    <w:rsid w:val="39413EB5"/>
    <w:rsid w:val="39EE5680"/>
    <w:rsid w:val="41E615AF"/>
    <w:rsid w:val="470747EF"/>
    <w:rsid w:val="4CA7659A"/>
    <w:rsid w:val="5044581F"/>
    <w:rsid w:val="50DF1D68"/>
    <w:rsid w:val="58EA4217"/>
    <w:rsid w:val="59637030"/>
    <w:rsid w:val="5AD2543E"/>
    <w:rsid w:val="711577C6"/>
    <w:rsid w:val="71D0079A"/>
    <w:rsid w:val="72030E05"/>
    <w:rsid w:val="7704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eastAsia="黑体" w:cs="Times New Roman"/>
      <w:b/>
      <w:bCs/>
      <w:kern w:val="44"/>
      <w:sz w:val="32"/>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eastAsia="宋体" w:cs="Times New Roman"/>
      <w:b/>
      <w:bCs/>
      <w:sz w:val="28"/>
      <w:szCs w:val="32"/>
    </w:rPr>
  </w:style>
  <w:style w:type="paragraph" w:styleId="4">
    <w:name w:val="heading 3"/>
    <w:basedOn w:val="1"/>
    <w:next w:val="1"/>
    <w:link w:val="37"/>
    <w:qFormat/>
    <w:uiPriority w:val="0"/>
    <w:pPr>
      <w:keepNext/>
      <w:keepLines/>
      <w:spacing w:before="260" w:after="260" w:line="416" w:lineRule="auto"/>
      <w:outlineLvl w:val="2"/>
    </w:pPr>
    <w:rPr>
      <w:rFonts w:ascii="Times New Roman" w:hAnsi="Times New Roman" w:eastAsia="宋体" w:cs="Times New Roman"/>
      <w:bCs/>
      <w:sz w:val="24"/>
      <w:szCs w:val="3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uiPriority w:val="0"/>
    <w:pPr>
      <w:ind w:left="2520" w:leftChars="1200"/>
    </w:pPr>
    <w:rPr>
      <w:rFonts w:ascii="Times New Roman" w:hAnsi="Times New Roman" w:eastAsia="宋体" w:cs="Times New Roman"/>
      <w:szCs w:val="24"/>
    </w:rPr>
  </w:style>
  <w:style w:type="paragraph" w:styleId="6">
    <w:name w:val="Document Map"/>
    <w:basedOn w:val="1"/>
    <w:link w:val="56"/>
    <w:semiHidden/>
    <w:qFormat/>
    <w:uiPriority w:val="0"/>
    <w:pPr>
      <w:shd w:val="clear" w:color="auto" w:fill="000080"/>
    </w:pPr>
    <w:rPr>
      <w:rFonts w:ascii="Times New Roman" w:hAnsi="Times New Roman" w:eastAsia="宋体" w:cs="Times New Roman"/>
    </w:rPr>
  </w:style>
  <w:style w:type="paragraph" w:styleId="7">
    <w:name w:val="annotation text"/>
    <w:basedOn w:val="1"/>
    <w:link w:val="49"/>
    <w:semiHidden/>
    <w:qFormat/>
    <w:uiPriority w:val="0"/>
    <w:pPr>
      <w:jc w:val="left"/>
    </w:pPr>
    <w:rPr>
      <w:rFonts w:ascii="Times New Roman" w:hAnsi="Times New Roman" w:eastAsia="宋体" w:cs="Times New Roman"/>
    </w:rPr>
  </w:style>
  <w:style w:type="paragraph" w:styleId="8">
    <w:name w:val="Body Text Indent"/>
    <w:basedOn w:val="1"/>
    <w:link w:val="54"/>
    <w:qFormat/>
    <w:uiPriority w:val="0"/>
    <w:pPr>
      <w:autoSpaceDE w:val="0"/>
      <w:autoSpaceDN w:val="0"/>
      <w:adjustRightInd w:val="0"/>
      <w:ind w:firstLine="420" w:firstLineChars="200"/>
      <w:jc w:val="left"/>
    </w:pPr>
    <w:rPr>
      <w:rFonts w:ascii="宋体" w:hAnsi="Times New Roman" w:eastAsia="宋体" w:cs="Times New Roman"/>
      <w:kern w:val="0"/>
      <w:szCs w:val="20"/>
      <w:lang w:val="zh-CN"/>
    </w:rPr>
  </w:style>
  <w:style w:type="paragraph" w:styleId="9">
    <w:name w:val="toc 5"/>
    <w:basedOn w:val="1"/>
    <w:next w:val="1"/>
    <w:semiHidden/>
    <w:uiPriority w:val="0"/>
    <w:pPr>
      <w:ind w:left="1680" w:leftChars="800"/>
    </w:pPr>
    <w:rPr>
      <w:rFonts w:ascii="Times New Roman" w:hAnsi="Times New Roman" w:eastAsia="宋体" w:cs="Times New Roman"/>
      <w:szCs w:val="24"/>
    </w:rPr>
  </w:style>
  <w:style w:type="paragraph" w:styleId="10">
    <w:name w:val="toc 3"/>
    <w:basedOn w:val="1"/>
    <w:next w:val="1"/>
    <w:semiHidden/>
    <w:qFormat/>
    <w:uiPriority w:val="0"/>
    <w:pPr>
      <w:ind w:left="840" w:leftChars="400"/>
    </w:pPr>
    <w:rPr>
      <w:rFonts w:ascii="Times New Roman" w:hAnsi="Times New Roman" w:eastAsia="宋体" w:cs="Times New Roman"/>
      <w:szCs w:val="24"/>
    </w:rPr>
  </w:style>
  <w:style w:type="paragraph" w:styleId="11">
    <w:name w:val="toc 8"/>
    <w:basedOn w:val="1"/>
    <w:next w:val="1"/>
    <w:semiHidden/>
    <w:qFormat/>
    <w:uiPriority w:val="0"/>
    <w:pPr>
      <w:ind w:left="2940" w:leftChars="1400"/>
    </w:pPr>
    <w:rPr>
      <w:rFonts w:ascii="Times New Roman" w:hAnsi="Times New Roman" w:eastAsia="宋体" w:cs="Times New Roman"/>
      <w:szCs w:val="24"/>
    </w:rPr>
  </w:style>
  <w:style w:type="paragraph" w:styleId="12">
    <w:name w:val="Date"/>
    <w:basedOn w:val="1"/>
    <w:next w:val="1"/>
    <w:link w:val="89"/>
    <w:qFormat/>
    <w:uiPriority w:val="0"/>
    <w:pPr>
      <w:ind w:left="100" w:leftChars="2500"/>
    </w:pPr>
    <w:rPr>
      <w:rFonts w:ascii="宋体" w:hAnsi="Times New Roman" w:eastAsia="宋体" w:cs="Times New Roman"/>
      <w:kern w:val="0"/>
      <w:sz w:val="20"/>
      <w:szCs w:val="20"/>
      <w:lang w:val="zh-CN"/>
    </w:rPr>
  </w:style>
  <w:style w:type="paragraph" w:styleId="13">
    <w:name w:val="Body Text Indent 2"/>
    <w:basedOn w:val="1"/>
    <w:link w:val="70"/>
    <w:uiPriority w:val="0"/>
    <w:pPr>
      <w:tabs>
        <w:tab w:val="left" w:pos="2520"/>
      </w:tabs>
      <w:ind w:firstLine="435"/>
    </w:pPr>
    <w:rPr>
      <w:rFonts w:ascii="Times New Roman" w:hAnsi="Times New Roman" w:eastAsia="宋体" w:cs="Times New Roman"/>
      <w:szCs w:val="24"/>
    </w:rPr>
  </w:style>
  <w:style w:type="paragraph" w:styleId="14">
    <w:name w:val="Balloon Text"/>
    <w:basedOn w:val="1"/>
    <w:link w:val="94"/>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170"/>
      </w:tabs>
      <w:spacing w:before="120" w:after="120"/>
      <w:jc w:val="left"/>
    </w:pPr>
    <w:rPr>
      <w:rFonts w:ascii="宋体" w:hAnsi="宋体" w:eastAsia="宋体" w:cs="Times New Roman"/>
      <w:b/>
      <w:bCs/>
      <w:caps/>
      <w:color w:val="000000"/>
      <w:sz w:val="24"/>
      <w:szCs w:val="24"/>
    </w:rPr>
  </w:style>
  <w:style w:type="paragraph" w:styleId="18">
    <w:name w:val="toc 4"/>
    <w:basedOn w:val="1"/>
    <w:next w:val="1"/>
    <w:semiHidden/>
    <w:qFormat/>
    <w:uiPriority w:val="0"/>
    <w:pPr>
      <w:ind w:left="1260" w:leftChars="600"/>
    </w:pPr>
    <w:rPr>
      <w:rFonts w:ascii="Times New Roman" w:hAnsi="Times New Roman" w:eastAsia="宋体" w:cs="Times New Roman"/>
      <w:szCs w:val="24"/>
    </w:rPr>
  </w:style>
  <w:style w:type="paragraph" w:styleId="19">
    <w:name w:val="Subtitle"/>
    <w:basedOn w:val="1"/>
    <w:next w:val="1"/>
    <w:link w:val="59"/>
    <w:qFormat/>
    <w:uiPriority w:val="11"/>
    <w:pPr>
      <w:spacing w:before="240" w:after="60" w:line="312" w:lineRule="auto"/>
      <w:jc w:val="center"/>
      <w:outlineLvl w:val="1"/>
    </w:pPr>
    <w:rPr>
      <w:rFonts w:ascii="Cambria" w:hAnsi="Cambria"/>
      <w:b/>
      <w:bCs/>
      <w:kern w:val="28"/>
      <w:sz w:val="32"/>
      <w:szCs w:val="32"/>
    </w:rPr>
  </w:style>
  <w:style w:type="paragraph" w:styleId="20">
    <w:name w:val="toc 6"/>
    <w:basedOn w:val="1"/>
    <w:next w:val="1"/>
    <w:semiHidden/>
    <w:qFormat/>
    <w:uiPriority w:val="0"/>
    <w:pPr>
      <w:ind w:left="2100" w:leftChars="1000"/>
    </w:pPr>
    <w:rPr>
      <w:rFonts w:ascii="Times New Roman" w:hAnsi="Times New Roman" w:eastAsia="宋体" w:cs="Times New Roman"/>
      <w:szCs w:val="24"/>
    </w:rPr>
  </w:style>
  <w:style w:type="paragraph" w:styleId="21">
    <w:name w:val="toc 2"/>
    <w:basedOn w:val="1"/>
    <w:next w:val="1"/>
    <w:qFormat/>
    <w:uiPriority w:val="39"/>
    <w:pPr>
      <w:tabs>
        <w:tab w:val="right" w:leader="dot" w:pos="9170"/>
      </w:tabs>
      <w:spacing w:line="360" w:lineRule="auto"/>
      <w:ind w:left="210"/>
    </w:pPr>
    <w:rPr>
      <w:rFonts w:ascii="宋体" w:hAnsi="宋体" w:eastAsia="宋体" w:cs="Times New Roman"/>
      <w:b/>
      <w:smallCaps/>
      <w:color w:val="000000"/>
      <w:sz w:val="24"/>
      <w:szCs w:val="24"/>
    </w:rPr>
  </w:style>
  <w:style w:type="paragraph" w:styleId="22">
    <w:name w:val="toc 9"/>
    <w:basedOn w:val="1"/>
    <w:next w:val="1"/>
    <w:semiHidden/>
    <w:qFormat/>
    <w:uiPriority w:val="0"/>
    <w:pPr>
      <w:ind w:left="3360" w:leftChars="1600"/>
    </w:pPr>
    <w:rPr>
      <w:rFonts w:ascii="Times New Roman" w:hAnsi="Times New Roman" w:eastAsia="宋体" w:cs="Times New Roman"/>
      <w:szCs w:val="24"/>
    </w:rPr>
  </w:style>
  <w:style w:type="paragraph" w:styleId="23">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4">
    <w:name w:val="Normal (Web)"/>
    <w:basedOn w:val="1"/>
    <w:link w:val="107"/>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link w:val="55"/>
    <w:qFormat/>
    <w:uiPriority w:val="0"/>
    <w:pPr>
      <w:spacing w:before="240" w:after="60"/>
      <w:jc w:val="center"/>
      <w:outlineLvl w:val="0"/>
    </w:pPr>
    <w:rPr>
      <w:rFonts w:ascii="Arial" w:hAnsi="Arial" w:eastAsia="宋体" w:cs="Arial"/>
      <w:b/>
      <w:bCs/>
      <w:sz w:val="32"/>
      <w:szCs w:val="3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uiPriority w:val="0"/>
    <w:rPr>
      <w:color w:val="800080"/>
      <w:u w:val="single"/>
    </w:rPr>
  </w:style>
  <w:style w:type="character" w:styleId="32">
    <w:name w:val="Hyperlink"/>
    <w:qFormat/>
    <w:uiPriority w:val="99"/>
    <w:rPr>
      <w:color w:val="0000FF"/>
      <w:u w:val="single"/>
    </w:rPr>
  </w:style>
  <w:style w:type="character" w:customStyle="1" w:styleId="33">
    <w:name w:val="页眉 Char"/>
    <w:basedOn w:val="28"/>
    <w:link w:val="16"/>
    <w:uiPriority w:val="99"/>
    <w:rPr>
      <w:sz w:val="18"/>
      <w:szCs w:val="18"/>
    </w:rPr>
  </w:style>
  <w:style w:type="character" w:customStyle="1" w:styleId="34">
    <w:name w:val="页脚 Char"/>
    <w:basedOn w:val="28"/>
    <w:link w:val="15"/>
    <w:uiPriority w:val="99"/>
    <w:rPr>
      <w:sz w:val="18"/>
      <w:szCs w:val="18"/>
    </w:rPr>
  </w:style>
  <w:style w:type="character" w:customStyle="1" w:styleId="35">
    <w:name w:val="标题 1 Char"/>
    <w:basedOn w:val="28"/>
    <w:link w:val="2"/>
    <w:qFormat/>
    <w:uiPriority w:val="9"/>
    <w:rPr>
      <w:rFonts w:ascii="Times New Roman" w:hAnsi="Times New Roman" w:eastAsia="黑体" w:cs="Times New Roman"/>
      <w:b/>
      <w:bCs/>
      <w:kern w:val="44"/>
      <w:sz w:val="32"/>
      <w:szCs w:val="44"/>
    </w:rPr>
  </w:style>
  <w:style w:type="character" w:customStyle="1" w:styleId="36">
    <w:name w:val="标题 2 Char"/>
    <w:basedOn w:val="28"/>
    <w:link w:val="3"/>
    <w:uiPriority w:val="9"/>
    <w:rPr>
      <w:rFonts w:ascii="Cambria" w:hAnsi="Cambria" w:eastAsia="宋体" w:cs="Times New Roman"/>
      <w:b/>
      <w:bCs/>
      <w:sz w:val="28"/>
      <w:szCs w:val="32"/>
    </w:rPr>
  </w:style>
  <w:style w:type="character" w:customStyle="1" w:styleId="37">
    <w:name w:val="标题 3 Char"/>
    <w:basedOn w:val="28"/>
    <w:link w:val="4"/>
    <w:uiPriority w:val="0"/>
    <w:rPr>
      <w:rFonts w:ascii="Times New Roman" w:hAnsi="Times New Roman" w:eastAsia="宋体" w:cs="Times New Roman"/>
      <w:bCs/>
      <w:sz w:val="24"/>
      <w:szCs w:val="32"/>
    </w:rPr>
  </w:style>
  <w:style w:type="character" w:customStyle="1" w:styleId="38">
    <w:name w:val="样式2 Char Char"/>
    <w:basedOn w:val="39"/>
    <w:link w:val="40"/>
    <w:qFormat/>
    <w:uiPriority w:val="0"/>
    <w:rPr>
      <w:rFonts w:ascii="Calibri" w:hAnsi="Calibri" w:eastAsia="黑体"/>
      <w:b/>
      <w:bCs/>
      <w:szCs w:val="32"/>
    </w:rPr>
  </w:style>
  <w:style w:type="character" w:customStyle="1" w:styleId="39">
    <w:name w:val="批注框文本 Char"/>
    <w:link w:val="14"/>
    <w:uiPriority w:val="99"/>
    <w:rPr>
      <w:sz w:val="18"/>
      <w:szCs w:val="18"/>
    </w:rPr>
  </w:style>
  <w:style w:type="paragraph" w:customStyle="1" w:styleId="40">
    <w:name w:val="样式2"/>
    <w:basedOn w:val="4"/>
    <w:link w:val="38"/>
    <w:uiPriority w:val="0"/>
    <w:pPr>
      <w:widowControl/>
      <w:jc w:val="left"/>
    </w:pPr>
    <w:rPr>
      <w:rFonts w:ascii="Calibri" w:hAnsi="Calibri" w:eastAsia="黑体" w:cstheme="minorBidi"/>
      <w:b/>
      <w:sz w:val="21"/>
    </w:rPr>
  </w:style>
  <w:style w:type="character" w:customStyle="1" w:styleId="41">
    <w:name w:val="副标题 Char"/>
    <w:link w:val="19"/>
    <w:uiPriority w:val="11"/>
    <w:rPr>
      <w:rFonts w:ascii="Cambria" w:hAnsi="Cambria"/>
      <w:b/>
      <w:bCs/>
      <w:kern w:val="28"/>
      <w:sz w:val="32"/>
      <w:szCs w:val="32"/>
    </w:rPr>
  </w:style>
  <w:style w:type="character" w:customStyle="1" w:styleId="42">
    <w:name w:val="emptel1"/>
    <w:basedOn w:val="28"/>
    <w:uiPriority w:val="0"/>
    <w:rPr>
      <w:sz w:val="18"/>
      <w:szCs w:val="18"/>
    </w:rPr>
  </w:style>
  <w:style w:type="character" w:customStyle="1" w:styleId="43">
    <w:name w:val="txt4"/>
    <w:basedOn w:val="28"/>
    <w:uiPriority w:val="0"/>
  </w:style>
  <w:style w:type="paragraph" w:customStyle="1" w:styleId="44">
    <w:name w:val="table305"/>
    <w:basedOn w:val="1"/>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eastAsia="宋体" w:cs="Arial Unicode MS"/>
      <w:color w:val="000000"/>
      <w:kern w:val="0"/>
      <w:szCs w:val="21"/>
    </w:rPr>
  </w:style>
  <w:style w:type="paragraph" w:customStyle="1" w:styleId="45">
    <w:name w:val="font6"/>
    <w:basedOn w:val="1"/>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46">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eastAsia="宋体" w:cs="Arial Unicode MS"/>
      <w:color w:val="000000"/>
      <w:kern w:val="0"/>
      <w:szCs w:val="21"/>
    </w:rPr>
  </w:style>
  <w:style w:type="paragraph" w:customStyle="1" w:styleId="47">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color w:val="000000"/>
      <w:kern w:val="0"/>
      <w:sz w:val="20"/>
      <w:szCs w:val="20"/>
    </w:rPr>
  </w:style>
  <w:style w:type="paragraph" w:customStyle="1" w:styleId="48">
    <w:name w:val="stedit1"/>
    <w:basedOn w:val="1"/>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eastAsia="宋体" w:cs="Arial Unicode MS"/>
      <w:color w:val="000000"/>
      <w:kern w:val="0"/>
      <w:sz w:val="18"/>
      <w:szCs w:val="18"/>
    </w:rPr>
  </w:style>
  <w:style w:type="character" w:customStyle="1" w:styleId="49">
    <w:name w:val="批注文字 Char"/>
    <w:basedOn w:val="28"/>
    <w:link w:val="7"/>
    <w:semiHidden/>
    <w:uiPriority w:val="0"/>
    <w:rPr>
      <w:rFonts w:ascii="Times New Roman" w:hAnsi="Times New Roman" w:eastAsia="宋体" w:cs="Times New Roman"/>
    </w:rPr>
  </w:style>
  <w:style w:type="paragraph" w:customStyle="1" w:styleId="50">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1">
    <w:name w:val="f7"/>
    <w:basedOn w:val="1"/>
    <w:uiPriority w:val="0"/>
    <w:pPr>
      <w:widowControl/>
      <w:spacing w:before="100" w:beforeAutospacing="1" w:after="100" w:afterAutospacing="1" w:line="330" w:lineRule="atLeast"/>
      <w:jc w:val="left"/>
    </w:pPr>
    <w:rPr>
      <w:rFonts w:hint="eastAsia" w:ascii="宋体" w:hAnsi="宋体" w:eastAsia="宋体" w:cs="Arial Unicode MS"/>
      <w:color w:val="000000"/>
      <w:kern w:val="0"/>
      <w:sz w:val="18"/>
      <w:szCs w:val="18"/>
    </w:rPr>
  </w:style>
  <w:style w:type="paragraph" w:customStyle="1" w:styleId="5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53">
    <w:name w:val="f10"/>
    <w:basedOn w:val="1"/>
    <w:uiPriority w:val="0"/>
    <w:pPr>
      <w:widowControl/>
      <w:spacing w:before="100" w:beforeAutospacing="1" w:after="100" w:afterAutospacing="1" w:line="300" w:lineRule="atLeast"/>
      <w:jc w:val="left"/>
    </w:pPr>
    <w:rPr>
      <w:rFonts w:hint="eastAsia" w:ascii="宋体" w:hAnsi="宋体" w:eastAsia="宋体" w:cs="Arial Unicode MS"/>
      <w:color w:val="000000"/>
      <w:kern w:val="0"/>
      <w:sz w:val="18"/>
      <w:szCs w:val="18"/>
    </w:rPr>
  </w:style>
  <w:style w:type="character" w:customStyle="1" w:styleId="54">
    <w:name w:val="正文文本缩进 Char"/>
    <w:basedOn w:val="28"/>
    <w:link w:val="8"/>
    <w:qFormat/>
    <w:uiPriority w:val="0"/>
    <w:rPr>
      <w:rFonts w:ascii="宋体" w:hAnsi="Times New Roman" w:eastAsia="宋体" w:cs="Times New Roman"/>
      <w:kern w:val="0"/>
      <w:szCs w:val="20"/>
      <w:lang w:val="zh-CN"/>
    </w:rPr>
  </w:style>
  <w:style w:type="character" w:customStyle="1" w:styleId="55">
    <w:name w:val="标题 Char"/>
    <w:basedOn w:val="28"/>
    <w:link w:val="25"/>
    <w:qFormat/>
    <w:uiPriority w:val="0"/>
    <w:rPr>
      <w:rFonts w:ascii="Arial" w:hAnsi="Arial" w:eastAsia="宋体" w:cs="Arial"/>
      <w:b/>
      <w:bCs/>
      <w:sz w:val="32"/>
      <w:szCs w:val="32"/>
    </w:rPr>
  </w:style>
  <w:style w:type="character" w:customStyle="1" w:styleId="56">
    <w:name w:val="文档结构图 Char"/>
    <w:basedOn w:val="28"/>
    <w:link w:val="6"/>
    <w:semiHidden/>
    <w:uiPriority w:val="0"/>
    <w:rPr>
      <w:rFonts w:ascii="Times New Roman" w:hAnsi="Times New Roman" w:eastAsia="宋体" w:cs="Times New Roman"/>
      <w:shd w:val="clear" w:color="auto" w:fill="000080"/>
    </w:rPr>
  </w:style>
  <w:style w:type="paragraph" w:customStyle="1" w:styleId="57">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color w:val="000000"/>
      <w:kern w:val="0"/>
      <w:sz w:val="20"/>
      <w:szCs w:val="20"/>
    </w:rPr>
  </w:style>
  <w:style w:type="paragraph" w:customStyle="1" w:styleId="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character" w:customStyle="1" w:styleId="59">
    <w:name w:val="副标题 Char1"/>
    <w:basedOn w:val="28"/>
    <w:link w:val="19"/>
    <w:uiPriority w:val="11"/>
    <w:rPr>
      <w:rFonts w:eastAsia="宋体" w:asciiTheme="majorHAnsi" w:hAnsiTheme="majorHAnsi" w:cstheme="majorBidi"/>
      <w:b/>
      <w:bCs/>
      <w:kern w:val="28"/>
      <w:sz w:val="32"/>
      <w:szCs w:val="32"/>
    </w:rPr>
  </w:style>
  <w:style w:type="paragraph" w:customStyle="1" w:styleId="60">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character" w:customStyle="1" w:styleId="61">
    <w:name w:val="HTML 预设格式 Char"/>
    <w:basedOn w:val="28"/>
    <w:link w:val="23"/>
    <w:uiPriority w:val="0"/>
    <w:rPr>
      <w:rFonts w:ascii="Arial Unicode MS" w:hAnsi="Arial Unicode MS" w:eastAsia="Courier New" w:cs="Courier New"/>
      <w:kern w:val="0"/>
      <w:sz w:val="20"/>
      <w:szCs w:val="20"/>
    </w:rPr>
  </w:style>
  <w:style w:type="paragraph" w:customStyle="1" w:styleId="62">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64">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eastAsia="宋体" w:cs="Arial Unicode MS"/>
      <w:color w:val="000000"/>
      <w:kern w:val="0"/>
      <w:sz w:val="18"/>
      <w:szCs w:val="18"/>
    </w:rPr>
  </w:style>
  <w:style w:type="paragraph" w:customStyle="1" w:styleId="65">
    <w:name w:val="table304"/>
    <w:basedOn w:val="1"/>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eastAsia="宋体" w:cs="Arial Unicode MS"/>
      <w:color w:val="000000"/>
      <w:kern w:val="0"/>
      <w:szCs w:val="21"/>
    </w:rPr>
  </w:style>
  <w:style w:type="paragraph" w:customStyle="1" w:styleId="66">
    <w:name w:val="xl3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eastAsia="宋体" w:cs="Times New Roman"/>
      <w:kern w:val="0"/>
      <w:sz w:val="20"/>
      <w:szCs w:val="20"/>
    </w:rPr>
  </w:style>
  <w:style w:type="paragraph" w:customStyle="1" w:styleId="67">
    <w:name w:val="font5"/>
    <w:basedOn w:val="1"/>
    <w:uiPriority w:val="0"/>
    <w:pPr>
      <w:widowControl/>
      <w:spacing w:before="100" w:beforeAutospacing="1" w:after="100" w:afterAutospacing="1"/>
      <w:jc w:val="left"/>
    </w:pPr>
    <w:rPr>
      <w:rFonts w:hint="eastAsia" w:ascii="宋体" w:hAnsi="宋体" w:eastAsia="宋体" w:cs="Arial Unicode MS"/>
      <w:kern w:val="0"/>
      <w:sz w:val="20"/>
      <w:szCs w:val="20"/>
    </w:rPr>
  </w:style>
  <w:style w:type="paragraph" w:customStyle="1" w:styleId="68">
    <w:name w:val="font8"/>
    <w:basedOn w:val="1"/>
    <w:uiPriority w:val="0"/>
    <w:pPr>
      <w:widowControl/>
      <w:spacing w:before="100" w:beforeAutospacing="1" w:after="100" w:afterAutospacing="1"/>
      <w:jc w:val="left"/>
    </w:pPr>
    <w:rPr>
      <w:rFonts w:ascii="Tahoma" w:hAnsi="Tahoma" w:eastAsia="宋体" w:cs="Tahoma"/>
      <w:kern w:val="0"/>
      <w:sz w:val="20"/>
      <w:szCs w:val="20"/>
    </w:rPr>
  </w:style>
  <w:style w:type="paragraph" w:customStyle="1" w:styleId="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character" w:customStyle="1" w:styleId="70">
    <w:name w:val="正文文本缩进 2 Char"/>
    <w:basedOn w:val="28"/>
    <w:link w:val="13"/>
    <w:uiPriority w:val="0"/>
    <w:rPr>
      <w:rFonts w:ascii="Times New Roman" w:hAnsi="Times New Roman" w:eastAsia="宋体" w:cs="Times New Roman"/>
      <w:szCs w:val="24"/>
    </w:rPr>
  </w:style>
  <w:style w:type="paragraph" w:customStyle="1" w:styleId="71">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eastAsia="宋体" w:cs="Arial Unicode MS"/>
      <w:color w:val="000000"/>
      <w:kern w:val="0"/>
      <w:szCs w:val="21"/>
    </w:rPr>
  </w:style>
  <w:style w:type="paragraph" w:customStyle="1" w:styleId="72">
    <w:name w:val="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3">
    <w:name w:val="f8-hg"/>
    <w:basedOn w:val="1"/>
    <w:uiPriority w:val="0"/>
    <w:pPr>
      <w:widowControl/>
      <w:spacing w:before="100" w:beforeAutospacing="1" w:after="100" w:afterAutospacing="1" w:line="330" w:lineRule="atLeast"/>
      <w:jc w:val="left"/>
    </w:pPr>
    <w:rPr>
      <w:rFonts w:hint="eastAsia" w:ascii="宋体" w:hAnsi="宋体" w:eastAsia="宋体" w:cs="Arial Unicode MS"/>
      <w:color w:val="000000"/>
      <w:spacing w:val="30"/>
      <w:kern w:val="0"/>
      <w:szCs w:val="21"/>
    </w:rPr>
  </w:style>
  <w:style w:type="paragraph" w:customStyle="1" w:styleId="74">
    <w:name w:val="Char Char Char1"/>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5">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6">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7">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character" w:customStyle="1" w:styleId="79">
    <w:name w:val="页眉 Char1"/>
    <w:basedOn w:val="28"/>
    <w:semiHidden/>
    <w:uiPriority w:val="99"/>
    <w:rPr>
      <w:kern w:val="2"/>
      <w:sz w:val="18"/>
      <w:szCs w:val="18"/>
    </w:rPr>
  </w:style>
  <w:style w:type="paragraph" w:customStyle="1" w:styleId="80">
    <w:name w:val="fgj01"/>
    <w:basedOn w:val="1"/>
    <w:uiPriority w:val="0"/>
    <w:pPr>
      <w:widowControl/>
      <w:spacing w:before="100" w:beforeAutospacing="1" w:after="100" w:afterAutospacing="1" w:line="330" w:lineRule="atLeast"/>
      <w:jc w:val="left"/>
    </w:pPr>
    <w:rPr>
      <w:rFonts w:hint="eastAsia" w:ascii="宋体" w:hAnsi="宋体" w:eastAsia="宋体" w:cs="Arial Unicode MS"/>
      <w:b/>
      <w:bCs/>
      <w:color w:val="000000"/>
      <w:spacing w:val="15"/>
      <w:kern w:val="0"/>
      <w:szCs w:val="21"/>
    </w:rPr>
  </w:style>
  <w:style w:type="paragraph" w:customStyle="1" w:styleId="81">
    <w:name w:val="f1"/>
    <w:basedOn w:val="1"/>
    <w:qFormat/>
    <w:uiPriority w:val="0"/>
    <w:pPr>
      <w:widowControl/>
      <w:spacing w:before="100" w:beforeAutospacing="1" w:after="100" w:afterAutospacing="1" w:line="330" w:lineRule="atLeast"/>
      <w:jc w:val="left"/>
    </w:pPr>
    <w:rPr>
      <w:rFonts w:hint="eastAsia" w:ascii="宋体" w:hAnsi="宋体" w:eastAsia="宋体" w:cs="Times New Roman"/>
      <w:color w:val="000000"/>
      <w:kern w:val="0"/>
      <w:sz w:val="18"/>
      <w:szCs w:val="18"/>
    </w:rPr>
  </w:style>
  <w:style w:type="paragraph" w:customStyle="1" w:styleId="82">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83">
    <w:name w:val="font9"/>
    <w:basedOn w:val="1"/>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84">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character" w:customStyle="1" w:styleId="85">
    <w:name w:val="页脚 Char1"/>
    <w:basedOn w:val="28"/>
    <w:semiHidden/>
    <w:uiPriority w:val="99"/>
    <w:rPr>
      <w:kern w:val="2"/>
      <w:sz w:val="18"/>
      <w:szCs w:val="18"/>
    </w:rPr>
  </w:style>
  <w:style w:type="paragraph" w:customStyle="1" w:styleId="86">
    <w:name w:val="buttons02"/>
    <w:basedOn w:val="1"/>
    <w:uiPriority w:val="0"/>
    <w:pPr>
      <w:widowControl/>
      <w:shd w:val="clear" w:color="auto" w:fill="D2E4FC"/>
      <w:spacing w:before="100" w:beforeAutospacing="1" w:after="100" w:afterAutospacing="1" w:line="330" w:lineRule="atLeast"/>
      <w:jc w:val="left"/>
    </w:pPr>
    <w:rPr>
      <w:rFonts w:hint="eastAsia" w:ascii="宋体" w:hAnsi="宋体" w:eastAsia="宋体" w:cs="Arial Unicode MS"/>
      <w:color w:val="000000"/>
      <w:kern w:val="0"/>
      <w:szCs w:val="21"/>
    </w:rPr>
  </w:style>
  <w:style w:type="paragraph" w:customStyle="1" w:styleId="87">
    <w:name w:val="xl3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p0"/>
    <w:basedOn w:val="1"/>
    <w:uiPriority w:val="0"/>
    <w:pPr>
      <w:widowControl/>
      <w:jc w:val="left"/>
    </w:pPr>
    <w:rPr>
      <w:rFonts w:ascii="宋体" w:hAnsi="宋体" w:eastAsia="宋体" w:cs="Times New Roman"/>
      <w:kern w:val="0"/>
      <w:sz w:val="24"/>
      <w:szCs w:val="21"/>
    </w:rPr>
  </w:style>
  <w:style w:type="character" w:customStyle="1" w:styleId="89">
    <w:name w:val="日期 Char"/>
    <w:basedOn w:val="28"/>
    <w:link w:val="12"/>
    <w:uiPriority w:val="0"/>
    <w:rPr>
      <w:rFonts w:ascii="宋体" w:hAnsi="Times New Roman" w:eastAsia="宋体" w:cs="Times New Roman"/>
      <w:kern w:val="0"/>
      <w:sz w:val="20"/>
      <w:szCs w:val="20"/>
      <w:lang w:val="zh-CN"/>
    </w:rPr>
  </w:style>
  <w:style w:type="paragraph" w:customStyle="1" w:styleId="90">
    <w:name w:val="font7"/>
    <w:basedOn w:val="1"/>
    <w:uiPriority w:val="0"/>
    <w:pPr>
      <w:widowControl/>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2">
    <w:name w:val="f2"/>
    <w:basedOn w:val="1"/>
    <w:uiPriority w:val="0"/>
    <w:pPr>
      <w:widowControl/>
      <w:spacing w:before="100" w:beforeAutospacing="1" w:after="100" w:afterAutospacing="1" w:line="330" w:lineRule="atLeast"/>
      <w:jc w:val="left"/>
    </w:pPr>
    <w:rPr>
      <w:rFonts w:hint="eastAsia" w:ascii="宋体" w:hAnsi="宋体" w:eastAsia="宋体" w:cs="Arial Unicode MS"/>
      <w:color w:val="000000"/>
      <w:kern w:val="0"/>
      <w:szCs w:val="21"/>
    </w:rPr>
  </w:style>
  <w:style w:type="paragraph" w:customStyle="1" w:styleId="93">
    <w:name w:val="f5"/>
    <w:basedOn w:val="1"/>
    <w:qFormat/>
    <w:uiPriority w:val="0"/>
    <w:pPr>
      <w:widowControl/>
      <w:spacing w:before="100" w:beforeAutospacing="1" w:after="100" w:afterAutospacing="1" w:line="330" w:lineRule="atLeast"/>
      <w:jc w:val="left"/>
    </w:pPr>
    <w:rPr>
      <w:rFonts w:hint="eastAsia" w:ascii="宋体" w:hAnsi="宋体" w:eastAsia="宋体" w:cs="Arial Unicode MS"/>
      <w:color w:val="000000"/>
      <w:spacing w:val="15"/>
      <w:kern w:val="0"/>
      <w:sz w:val="18"/>
      <w:szCs w:val="18"/>
    </w:rPr>
  </w:style>
  <w:style w:type="character" w:customStyle="1" w:styleId="94">
    <w:name w:val="批注框文本 Char1"/>
    <w:basedOn w:val="28"/>
    <w:link w:val="14"/>
    <w:semiHidden/>
    <w:uiPriority w:val="99"/>
    <w:rPr>
      <w:sz w:val="18"/>
      <w:szCs w:val="18"/>
    </w:rPr>
  </w:style>
  <w:style w:type="paragraph" w:customStyle="1" w:styleId="95">
    <w:name w:val="table301"/>
    <w:basedOn w:val="1"/>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eastAsia="宋体" w:cs="Arial Unicode MS"/>
      <w:color w:val="000000"/>
      <w:kern w:val="0"/>
      <w:szCs w:val="21"/>
    </w:rPr>
  </w:style>
  <w:style w:type="paragraph" w:customStyle="1" w:styleId="96">
    <w:name w:val="fgj02"/>
    <w:basedOn w:val="1"/>
    <w:uiPriority w:val="0"/>
    <w:pPr>
      <w:widowControl/>
      <w:spacing w:before="100" w:beforeAutospacing="1" w:after="100" w:afterAutospacing="1" w:line="330" w:lineRule="atLeast"/>
      <w:jc w:val="left"/>
    </w:pPr>
    <w:rPr>
      <w:rFonts w:hint="eastAsia" w:ascii="宋体" w:hAnsi="宋体" w:eastAsia="宋体" w:cs="Arial Unicode MS"/>
      <w:b/>
      <w:bCs/>
      <w:color w:val="000000"/>
      <w:spacing w:val="15"/>
      <w:kern w:val="0"/>
      <w:szCs w:val="21"/>
    </w:rPr>
  </w:style>
  <w:style w:type="paragraph" w:customStyle="1" w:styleId="97">
    <w:name w:val="f3"/>
    <w:basedOn w:val="1"/>
    <w:qFormat/>
    <w:uiPriority w:val="0"/>
    <w:pPr>
      <w:widowControl/>
      <w:spacing w:before="100" w:beforeAutospacing="1" w:after="100" w:afterAutospacing="1" w:line="330" w:lineRule="atLeast"/>
      <w:jc w:val="left"/>
    </w:pPr>
    <w:rPr>
      <w:rFonts w:hint="eastAsia" w:ascii="宋体" w:hAnsi="宋体" w:eastAsia="宋体" w:cs="Arial Unicode MS"/>
      <w:color w:val="000000"/>
      <w:kern w:val="0"/>
      <w:sz w:val="16"/>
      <w:szCs w:val="16"/>
    </w:rPr>
  </w:style>
  <w:style w:type="paragraph" w:customStyle="1" w:styleId="98">
    <w:name w:val="f0"/>
    <w:basedOn w:val="1"/>
    <w:qFormat/>
    <w:uiPriority w:val="0"/>
    <w:pPr>
      <w:widowControl/>
      <w:spacing w:before="100" w:beforeAutospacing="1" w:after="100" w:afterAutospacing="1" w:line="270" w:lineRule="atLeast"/>
      <w:jc w:val="left"/>
    </w:pPr>
    <w:rPr>
      <w:rFonts w:hint="eastAsia" w:ascii="宋体" w:hAnsi="宋体" w:eastAsia="宋体" w:cs="Arial Unicode MS"/>
      <w:color w:val="000000"/>
      <w:kern w:val="0"/>
      <w:sz w:val="18"/>
      <w:szCs w:val="18"/>
    </w:rPr>
  </w:style>
  <w:style w:type="paragraph" w:customStyle="1" w:styleId="99">
    <w:name w:val="f8"/>
    <w:basedOn w:val="1"/>
    <w:uiPriority w:val="0"/>
    <w:pPr>
      <w:widowControl/>
      <w:spacing w:before="100" w:beforeAutospacing="1" w:after="100" w:afterAutospacing="1" w:line="330" w:lineRule="atLeast"/>
      <w:jc w:val="left"/>
    </w:pPr>
    <w:rPr>
      <w:rFonts w:hint="eastAsia" w:ascii="宋体" w:hAnsi="宋体" w:eastAsia="宋体" w:cs="Arial Unicode MS"/>
      <w:color w:val="000000"/>
      <w:spacing w:val="30"/>
      <w:kern w:val="0"/>
      <w:szCs w:val="21"/>
    </w:rPr>
  </w:style>
  <w:style w:type="paragraph" w:customStyle="1" w:styleId="100">
    <w:name w:val="f4"/>
    <w:basedOn w:val="1"/>
    <w:qFormat/>
    <w:uiPriority w:val="0"/>
    <w:pPr>
      <w:widowControl/>
      <w:spacing w:before="100" w:beforeAutospacing="1" w:after="100" w:afterAutospacing="1" w:line="330" w:lineRule="atLeast"/>
      <w:jc w:val="left"/>
    </w:pPr>
    <w:rPr>
      <w:rFonts w:hint="eastAsia" w:ascii="宋体" w:hAnsi="宋体" w:eastAsia="宋体" w:cs="Arial Unicode MS"/>
      <w:color w:val="000000"/>
      <w:kern w:val="0"/>
      <w:sz w:val="18"/>
      <w:szCs w:val="18"/>
    </w:rPr>
  </w:style>
  <w:style w:type="paragraph" w:customStyle="1" w:styleId="101">
    <w:name w:val="f6"/>
    <w:basedOn w:val="1"/>
    <w:uiPriority w:val="0"/>
    <w:pPr>
      <w:widowControl/>
      <w:spacing w:before="100" w:beforeAutospacing="1" w:after="100" w:afterAutospacing="1" w:line="330" w:lineRule="atLeast"/>
      <w:jc w:val="left"/>
    </w:pPr>
    <w:rPr>
      <w:rFonts w:hint="eastAsia" w:ascii="宋体" w:hAnsi="宋体" w:eastAsia="宋体" w:cs="Arial Unicode MS"/>
      <w:color w:val="000000"/>
      <w:spacing w:val="15"/>
      <w:kern w:val="0"/>
      <w:sz w:val="18"/>
      <w:szCs w:val="18"/>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103">
    <w:name w:val="custtext"/>
    <w:basedOn w:val="1"/>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eastAsia="宋体" w:cs="Arial Unicode MS"/>
      <w:color w:val="054B92"/>
      <w:kern w:val="0"/>
      <w:sz w:val="18"/>
      <w:szCs w:val="18"/>
    </w:rPr>
  </w:style>
  <w:style w:type="paragraph" w:customStyle="1" w:styleId="1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5">
    <w:name w:val="xl4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宋体" w:cs="Times New Roman"/>
      <w:color w:val="0000FF"/>
      <w:kern w:val="0"/>
      <w:sz w:val="20"/>
      <w:szCs w:val="20"/>
    </w:rPr>
  </w:style>
  <w:style w:type="paragraph" w:customStyle="1" w:styleId="106">
    <w:name w:val="xl41"/>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eastAsia="宋体" w:cs="Times New Roman"/>
      <w:kern w:val="0"/>
      <w:sz w:val="20"/>
      <w:szCs w:val="20"/>
    </w:rPr>
  </w:style>
  <w:style w:type="character" w:customStyle="1" w:styleId="107">
    <w:name w:val="普通(网站) Char"/>
    <w:link w:val="24"/>
    <w:locked/>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1A1F1-C71B-481D-A19D-746AB0CA90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1705</Words>
  <Characters>9720</Characters>
  <Lines>81</Lines>
  <Paragraphs>22</Paragraphs>
  <TotalTime>0</TotalTime>
  <ScaleCrop>false</ScaleCrop>
  <LinksUpToDate>false</LinksUpToDate>
  <CharactersWithSpaces>11403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2021-11-05T00:04:00Z</dcterms:created>
  <dc:creator>微软用户</dc:creator>
  <cp:lastModifiedBy>Administrator</cp:lastModifiedBy>
  <dcterms:modified xsi:type="dcterms:W3CDTF">2022-04-01T10:15:39Z</dcterms:modified>
  <cp:revision>507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A5229E3FE8E146AC92C60461B9B5C5D7</vt:lpwstr>
  </property>
</Properties>
</file>